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DE54D" w14:textId="283C72A5" w:rsidR="00280DD1" w:rsidRDefault="001C7608" w:rsidP="00280DD1">
      <w:pPr>
        <w:pStyle w:val="3GPPHeader"/>
        <w:spacing w:after="60"/>
        <w:rPr>
          <w:sz w:val="32"/>
          <w:szCs w:val="32"/>
          <w:highlight w:val="yellow"/>
        </w:rPr>
      </w:pPr>
      <w:r>
        <w:t xml:space="preserve">3GPP TSG-RAN WG2 </w:t>
      </w:r>
      <w:r w:rsidR="009A5E18">
        <w:t>#105</w:t>
      </w:r>
      <w:r w:rsidR="00280DD1">
        <w:tab/>
      </w:r>
      <w:proofErr w:type="spellStart"/>
      <w:r w:rsidR="00280DD1">
        <w:rPr>
          <w:sz w:val="32"/>
          <w:szCs w:val="32"/>
        </w:rPr>
        <w:t>Tdoc</w:t>
      </w:r>
      <w:proofErr w:type="spellEnd"/>
      <w:r w:rsidR="00280DD1">
        <w:rPr>
          <w:sz w:val="32"/>
          <w:szCs w:val="32"/>
        </w:rPr>
        <w:t xml:space="preserve"> R2-1</w:t>
      </w:r>
      <w:r w:rsidR="003F63E8">
        <w:rPr>
          <w:sz w:val="32"/>
          <w:szCs w:val="32"/>
        </w:rPr>
        <w:t>9</w:t>
      </w:r>
      <w:r w:rsidR="006F0C18">
        <w:rPr>
          <w:sz w:val="32"/>
          <w:szCs w:val="32"/>
        </w:rPr>
        <w:t>00398</w:t>
      </w:r>
    </w:p>
    <w:p w14:paraId="32E297A9" w14:textId="44EE2A53" w:rsidR="00280DD1" w:rsidRDefault="009A5E18" w:rsidP="00280DD1">
      <w:pPr>
        <w:pStyle w:val="3GPPHeader"/>
      </w:pPr>
      <w:r>
        <w:t>Athens</w:t>
      </w:r>
      <w:r w:rsidR="00280DD1">
        <w:t xml:space="preserve">, </w:t>
      </w:r>
      <w:r>
        <w:t>Greece</w:t>
      </w:r>
      <w:r w:rsidR="00280DD1">
        <w:t>, 2</w:t>
      </w:r>
      <w:r>
        <w:t>5</w:t>
      </w:r>
      <w:r>
        <w:rPr>
          <w:vertAlign w:val="superscript"/>
        </w:rPr>
        <w:t xml:space="preserve">th </w:t>
      </w:r>
      <w:r>
        <w:t xml:space="preserve">Feb </w:t>
      </w:r>
      <w:r w:rsidR="00280DD1">
        <w:t xml:space="preserve">– </w:t>
      </w:r>
      <w:r>
        <w:t>1</w:t>
      </w:r>
      <w:r>
        <w:rPr>
          <w:vertAlign w:val="superscript"/>
        </w:rPr>
        <w:t>st</w:t>
      </w:r>
      <w:r w:rsidR="001C7608">
        <w:t xml:space="preserve"> </w:t>
      </w:r>
      <w:r>
        <w:t>Mar</w:t>
      </w:r>
      <w:r w:rsidR="00280DD1">
        <w:t xml:space="preserve"> 201</w:t>
      </w:r>
      <w:r>
        <w:t>9</w:t>
      </w:r>
    </w:p>
    <w:p w14:paraId="39E0FC52" w14:textId="77777777" w:rsidR="00E90E49" w:rsidRPr="00CE0424" w:rsidRDefault="00E90E49" w:rsidP="00357380">
      <w:pPr>
        <w:pStyle w:val="3GPPHeader"/>
      </w:pPr>
    </w:p>
    <w:p w14:paraId="073CAC09" w14:textId="146A725E" w:rsidR="00E90E49" w:rsidRPr="008A15ED" w:rsidRDefault="00E90E49" w:rsidP="00311702">
      <w:pPr>
        <w:pStyle w:val="3GPPHeader"/>
        <w:rPr>
          <w:sz w:val="22"/>
          <w:szCs w:val="22"/>
          <w:lang w:val="en-US"/>
        </w:rPr>
      </w:pPr>
      <w:r w:rsidRPr="008A15ED">
        <w:rPr>
          <w:sz w:val="22"/>
          <w:szCs w:val="22"/>
          <w:lang w:val="en-US"/>
        </w:rPr>
        <w:t>Agenda Item:</w:t>
      </w:r>
      <w:r w:rsidRPr="008A15ED">
        <w:rPr>
          <w:sz w:val="22"/>
          <w:szCs w:val="22"/>
          <w:lang w:val="en-US"/>
        </w:rPr>
        <w:tab/>
      </w:r>
      <w:r w:rsidR="008A15ED" w:rsidRPr="008A15ED">
        <w:rPr>
          <w:sz w:val="22"/>
          <w:szCs w:val="22"/>
          <w:lang w:val="en-US"/>
        </w:rPr>
        <w:t>11.9.1</w:t>
      </w:r>
    </w:p>
    <w:p w14:paraId="3DA08B5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30F7488" w14:textId="6378619A" w:rsidR="00E90E49" w:rsidRPr="00CE0424" w:rsidRDefault="003D3C45" w:rsidP="00311702">
      <w:pPr>
        <w:pStyle w:val="3GPPHeader"/>
        <w:rPr>
          <w:sz w:val="22"/>
          <w:szCs w:val="22"/>
        </w:rPr>
      </w:pPr>
      <w:r>
        <w:rPr>
          <w:sz w:val="22"/>
          <w:szCs w:val="22"/>
        </w:rPr>
        <w:t>Title:</w:t>
      </w:r>
      <w:r w:rsidR="00E90E49" w:rsidRPr="00CE0424">
        <w:rPr>
          <w:sz w:val="22"/>
          <w:szCs w:val="22"/>
        </w:rPr>
        <w:tab/>
      </w:r>
      <w:r w:rsidR="009A5E18" w:rsidRPr="009A5E18">
        <w:rPr>
          <w:sz w:val="22"/>
          <w:szCs w:val="22"/>
        </w:rPr>
        <w:t xml:space="preserve">Scope and </w:t>
      </w:r>
      <w:r w:rsidR="0075248C">
        <w:rPr>
          <w:sz w:val="22"/>
          <w:szCs w:val="22"/>
        </w:rPr>
        <w:t xml:space="preserve">ways of working for the </w:t>
      </w:r>
      <w:r w:rsidR="009A5E18" w:rsidRPr="009A5E18">
        <w:rPr>
          <w:sz w:val="22"/>
          <w:szCs w:val="22"/>
        </w:rPr>
        <w:t>NR mobility enhancements WI</w:t>
      </w:r>
    </w:p>
    <w:p w14:paraId="12F66804" w14:textId="5DE287AD" w:rsidR="00E90E49" w:rsidRDefault="00E90E49" w:rsidP="00D546FF">
      <w:pPr>
        <w:pStyle w:val="3GPPHeader"/>
        <w:rPr>
          <w:sz w:val="22"/>
          <w:szCs w:val="22"/>
        </w:rPr>
      </w:pPr>
      <w:r w:rsidRPr="00CE0424">
        <w:rPr>
          <w:sz w:val="22"/>
          <w:szCs w:val="22"/>
        </w:rPr>
        <w:t>Document for:</w:t>
      </w:r>
      <w:r w:rsidRPr="00CE0424">
        <w:rPr>
          <w:sz w:val="22"/>
          <w:szCs w:val="22"/>
        </w:rPr>
        <w:tab/>
      </w:r>
      <w:r w:rsidRPr="009A5E18">
        <w:rPr>
          <w:sz w:val="22"/>
          <w:szCs w:val="22"/>
        </w:rPr>
        <w:t>Discussion</w:t>
      </w:r>
    </w:p>
    <w:p w14:paraId="237C5779" w14:textId="77777777" w:rsidR="00C24345" w:rsidRDefault="00E90E49" w:rsidP="00A2052C">
      <w:pPr>
        <w:pStyle w:val="Heading1"/>
      </w:pPr>
      <w:r w:rsidRPr="00CE0424">
        <w:t>Introduction</w:t>
      </w:r>
    </w:p>
    <w:p w14:paraId="161F0843" w14:textId="1846B323" w:rsidR="009B0D7C" w:rsidRDefault="009B0D7C" w:rsidP="00A2052C">
      <w:r>
        <w:t xml:space="preserve">RAN2#105 is the first meeting of the </w:t>
      </w:r>
      <w:r w:rsidR="00D86185">
        <w:t xml:space="preserve">Rel-16 </w:t>
      </w:r>
      <w:r>
        <w:t>NR mobility enhancement</w:t>
      </w:r>
      <w:r w:rsidR="00476784">
        <w:t>s</w:t>
      </w:r>
      <w:r>
        <w:t xml:space="preserve"> work item which aims to </w:t>
      </w:r>
      <w:r w:rsidR="00476784">
        <w:t>enhance</w:t>
      </w:r>
      <w:r>
        <w:t xml:space="preserve"> </w:t>
      </w:r>
      <w:r w:rsidR="00476784">
        <w:t xml:space="preserve">NR </w:t>
      </w:r>
      <w:r>
        <w:t xml:space="preserve">mobility by reducing </w:t>
      </w:r>
      <w:r w:rsidR="0012504A">
        <w:t xml:space="preserve">handover interruption time and </w:t>
      </w:r>
      <w:r w:rsidRPr="003036C3">
        <w:t xml:space="preserve">improve </w:t>
      </w:r>
      <w:r w:rsidR="0012504A">
        <w:t>handover</w:t>
      </w:r>
      <w:r w:rsidRPr="003036C3">
        <w:t xml:space="preserve"> robustness</w:t>
      </w:r>
      <w:r w:rsidR="00476784">
        <w:t>.</w:t>
      </w:r>
    </w:p>
    <w:p w14:paraId="01166659" w14:textId="03A53B5B" w:rsidR="00476784" w:rsidRDefault="00476784" w:rsidP="00A2052C">
      <w:r>
        <w:t xml:space="preserve">In this contribution we discuss the scope of this </w:t>
      </w:r>
      <w:r w:rsidR="0075248C">
        <w:t xml:space="preserve">new </w:t>
      </w:r>
      <w:r>
        <w:t xml:space="preserve">work item and the similarities and differences compared to the ongoing </w:t>
      </w:r>
      <w:r w:rsidR="00D86185">
        <w:t>Rel-16</w:t>
      </w:r>
      <w:r w:rsidR="0075248C">
        <w:t xml:space="preserve"> work item on LTE mobility enhancements. We propose</w:t>
      </w:r>
      <w:r>
        <w:t xml:space="preserve"> </w:t>
      </w:r>
      <w:r w:rsidR="00D355C8">
        <w:t xml:space="preserve">some </w:t>
      </w:r>
      <w:r>
        <w:t xml:space="preserve">principles for ways of working </w:t>
      </w:r>
      <w:r w:rsidR="00011D68">
        <w:t xml:space="preserve">to avoid duplicate work between </w:t>
      </w:r>
      <w:r w:rsidR="00667431">
        <w:t>the two work items</w:t>
      </w:r>
      <w:r>
        <w:t>.</w:t>
      </w:r>
    </w:p>
    <w:p w14:paraId="1BB5D965" w14:textId="431EDB7E" w:rsidR="004000E8" w:rsidRDefault="007D308B" w:rsidP="00CE0424">
      <w:pPr>
        <w:pStyle w:val="Heading1"/>
      </w:pPr>
      <w:r>
        <w:t>Discussion</w:t>
      </w:r>
    </w:p>
    <w:p w14:paraId="11D73B55" w14:textId="6FCCCF67" w:rsidR="007D308B" w:rsidRPr="007D308B" w:rsidRDefault="007D308B" w:rsidP="007D308B">
      <w:pPr>
        <w:pStyle w:val="Heading2"/>
      </w:pPr>
      <w:r>
        <w:t>Time</w:t>
      </w:r>
      <w:r w:rsidR="0035328C">
        <w:t xml:space="preserve"> </w:t>
      </w:r>
      <w:r>
        <w:t>plan</w:t>
      </w:r>
    </w:p>
    <w:p w14:paraId="1E71CE3E" w14:textId="50725908" w:rsidR="00A71AD9" w:rsidRDefault="00D86185" w:rsidP="004803D5">
      <w:r>
        <w:t xml:space="preserve">Both the NR </w:t>
      </w:r>
      <w:r w:rsidR="0075248C">
        <w:t xml:space="preserve">and LTE </w:t>
      </w:r>
      <w:r>
        <w:t>WI</w:t>
      </w:r>
      <w:r w:rsidR="0075248C">
        <w:t xml:space="preserve"> </w:t>
      </w:r>
      <w:r>
        <w:t>contain the same high-level objectives, namely reducing handover interruption and improving mobility robustness. The LTE WI started already in RAN2#103bis while the NR WI starts three meetings later in RAN#105. Both WI</w:t>
      </w:r>
      <w:r w:rsidR="00D34D30">
        <w:t>s</w:t>
      </w:r>
      <w:r>
        <w:t xml:space="preserve"> are expected to finish at the same time at RAN2#108.</w:t>
      </w:r>
    </w:p>
    <w:p w14:paraId="548A02CD" w14:textId="01184979" w:rsidR="00F80C0C" w:rsidRDefault="00673690" w:rsidP="00673690">
      <w:pPr>
        <w:jc w:val="center"/>
      </w:pPr>
      <w:r>
        <w:rPr>
          <w:noProof/>
        </w:rPr>
        <w:drawing>
          <wp:inline distT="0" distB="0" distL="0" distR="0" wp14:anchorId="671531AA" wp14:editId="1F39A269">
            <wp:extent cx="5212715" cy="303022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12715" cy="3030220"/>
                    </a:xfrm>
                    <a:prstGeom prst="rect">
                      <a:avLst/>
                    </a:prstGeom>
                    <a:noFill/>
                  </pic:spPr>
                </pic:pic>
              </a:graphicData>
            </a:graphic>
          </wp:inline>
        </w:drawing>
      </w:r>
    </w:p>
    <w:p w14:paraId="51B2EE1E" w14:textId="77777777" w:rsidR="00F80C0C" w:rsidRDefault="00F80C0C" w:rsidP="00F80C0C">
      <w:pPr>
        <w:pStyle w:val="Heading2"/>
      </w:pPr>
      <w:r>
        <w:t>Ways of working</w:t>
      </w:r>
    </w:p>
    <w:p w14:paraId="2F32649B" w14:textId="1D13E2DD" w:rsidR="007304D5" w:rsidRDefault="00F80C0C" w:rsidP="00F80C0C">
      <w:r>
        <w:t xml:space="preserve">The present situation reminds to some extent to when LTE connected to 5GC was specified in Rel-15. In that work item, we would typically try to align LTE connected to 5GC with NR and after an agreement had been </w:t>
      </w:r>
      <w:r>
        <w:lastRenderedPageBreak/>
        <w:t>made for NR the same agreement would typically be adopted for LTE without much discussion. Here the situation is slightly reverse</w:t>
      </w:r>
      <w:r w:rsidR="00E62E76">
        <w:t>d</w:t>
      </w:r>
      <w:r>
        <w:t xml:space="preserve"> since we started with LTE and the NR agreements might follow the LTE ones instead of the other way around. Regardless of who follows who</w:t>
      </w:r>
      <w:r w:rsidR="00161F07">
        <w:t>m</w:t>
      </w:r>
      <w:r>
        <w:t xml:space="preserve">, it </w:t>
      </w:r>
      <w:r w:rsidR="00161F07">
        <w:t xml:space="preserve">is beneficial </w:t>
      </w:r>
      <w:r>
        <w:t xml:space="preserve">if the LTE and NR solutions are aligned </w:t>
      </w:r>
      <w:r w:rsidR="00161F07">
        <w:t xml:space="preserve">to </w:t>
      </w:r>
      <w:r>
        <w:t>reduce the evaluation and specification effort.</w:t>
      </w:r>
      <w:r w:rsidR="007304D5">
        <w:t xml:space="preserve"> The NR work item also explicitly states that “</w:t>
      </w:r>
      <w:r w:rsidR="007304D5" w:rsidRPr="007304D5">
        <w:t>LTE mobility enhancements should be used for baseline for fast handover failure recovery, Make-before-break and RACH-less handover</w:t>
      </w:r>
      <w:r w:rsidR="007304D5">
        <w:t>”.</w:t>
      </w:r>
    </w:p>
    <w:p w14:paraId="659DA33C" w14:textId="351EBCE7" w:rsidR="008C4E90" w:rsidRDefault="008C4E90" w:rsidP="008C4E90">
      <w:pPr>
        <w:pStyle w:val="Proposal"/>
      </w:pPr>
      <w:bookmarkStart w:id="0" w:name="_Toc262846"/>
      <w:bookmarkStart w:id="1" w:name="_Toc263592"/>
      <w:bookmarkStart w:id="2" w:name="_Toc264602"/>
      <w:bookmarkStart w:id="3" w:name="_Toc721677"/>
      <w:bookmarkStart w:id="4" w:name="_Toc783708"/>
      <w:bookmarkStart w:id="5" w:name="_Toc788813"/>
      <w:bookmarkStart w:id="6" w:name="_Toc1043129"/>
      <w:bookmarkStart w:id="7" w:name="_Toc1043833"/>
      <w:r>
        <w:t xml:space="preserve">In </w:t>
      </w:r>
      <w:r w:rsidR="00604748">
        <w:t>general,</w:t>
      </w:r>
      <w:r>
        <w:t xml:space="preserve"> we should try to align the solutions for NR and LTE to reduce the evaluation and specification effort.</w:t>
      </w:r>
      <w:bookmarkEnd w:id="0"/>
      <w:bookmarkEnd w:id="1"/>
      <w:bookmarkEnd w:id="2"/>
      <w:bookmarkEnd w:id="3"/>
      <w:bookmarkEnd w:id="4"/>
      <w:bookmarkEnd w:id="5"/>
      <w:bookmarkEnd w:id="6"/>
      <w:bookmarkEnd w:id="7"/>
    </w:p>
    <w:p w14:paraId="160CA7EB" w14:textId="0F6C81F0" w:rsidR="008C4E90" w:rsidRDefault="00604748" w:rsidP="00604748">
      <w:r>
        <w:t xml:space="preserve">This should be possible considering that NR and LTE are </w:t>
      </w:r>
      <w:proofErr w:type="gramStart"/>
      <w:r>
        <w:t>similar to</w:t>
      </w:r>
      <w:proofErr w:type="gramEnd"/>
      <w:r>
        <w:t xml:space="preserve"> a large extent and if we for example look at the basic handover procedure in LTE and NR they appear almost identical to each other. Of course, there are details of the solution that will differ between NR and LTE due to NR specific aspects such as beamforming, higher frequencies, CU/DU split, etc. However, the high-level principles of the solution can probably be common. When agreeing to a high-level principle for one RAT we should therefore check if the same principle can be agreed </w:t>
      </w:r>
      <w:r w:rsidR="004B5C00">
        <w:t>also for</w:t>
      </w:r>
      <w:r>
        <w:t xml:space="preserve"> the other RAT</w:t>
      </w:r>
      <w:r w:rsidR="00197E46">
        <w:t>.</w:t>
      </w:r>
      <w:r>
        <w:t xml:space="preserve"> </w:t>
      </w:r>
    </w:p>
    <w:p w14:paraId="64518F4A" w14:textId="365AED9B" w:rsidR="00197E46" w:rsidRDefault="00197E46" w:rsidP="00E572B6">
      <w:pPr>
        <w:pStyle w:val="Proposal"/>
      </w:pPr>
      <w:bookmarkStart w:id="8" w:name="_Toc262847"/>
      <w:bookmarkStart w:id="9" w:name="_Toc263593"/>
      <w:bookmarkStart w:id="10" w:name="_Toc264603"/>
      <w:bookmarkStart w:id="11" w:name="_Toc721678"/>
      <w:bookmarkStart w:id="12" w:name="_Toc783709"/>
      <w:bookmarkStart w:id="13" w:name="_Toc788814"/>
      <w:bookmarkStart w:id="14" w:name="_Toc1043130"/>
      <w:bookmarkStart w:id="15" w:name="_Toc1043834"/>
      <w:r>
        <w:t xml:space="preserve">When making an agreement for one RAT check if the same agreement can </w:t>
      </w:r>
      <w:r w:rsidR="00B145B3">
        <w:t xml:space="preserve">be </w:t>
      </w:r>
      <w:r>
        <w:t>made also for the other RAT.</w:t>
      </w:r>
      <w:bookmarkEnd w:id="8"/>
      <w:bookmarkEnd w:id="9"/>
      <w:bookmarkEnd w:id="10"/>
      <w:bookmarkEnd w:id="11"/>
      <w:bookmarkEnd w:id="12"/>
      <w:bookmarkEnd w:id="13"/>
      <w:bookmarkEnd w:id="14"/>
      <w:bookmarkEnd w:id="15"/>
    </w:p>
    <w:p w14:paraId="3894DD06" w14:textId="1AB380EC" w:rsidR="005A7A70" w:rsidRDefault="00FC01F3" w:rsidP="004803D5">
      <w:r>
        <w:t>A good starting point is</w:t>
      </w:r>
      <w:r w:rsidR="00B73EDB">
        <w:t xml:space="preserve"> to go through the agreements made so far </w:t>
      </w:r>
      <w:r w:rsidR="00600622">
        <w:t xml:space="preserve">in the LTE WI and see </w:t>
      </w:r>
      <w:r w:rsidR="00534DC0">
        <w:t xml:space="preserve">which ones are applicable to </w:t>
      </w:r>
      <w:r w:rsidR="00BB05F6">
        <w:t>NR.</w:t>
      </w:r>
    </w:p>
    <w:p w14:paraId="0364BF7D" w14:textId="4204DC7D" w:rsidR="00BB05F6" w:rsidRDefault="00FC01F3" w:rsidP="00BB05F6">
      <w:pPr>
        <w:pStyle w:val="Proposal"/>
      </w:pPr>
      <w:bookmarkStart w:id="16" w:name="_Toc721679"/>
      <w:bookmarkStart w:id="17" w:name="_Toc783710"/>
      <w:bookmarkStart w:id="18" w:name="_Toc788815"/>
      <w:bookmarkStart w:id="19" w:name="_Toc1043131"/>
      <w:bookmarkStart w:id="20" w:name="_Toc1043835"/>
      <w:r>
        <w:t xml:space="preserve">The NR </w:t>
      </w:r>
      <w:r w:rsidR="006B1179">
        <w:t xml:space="preserve">WI should start by checking the existing agreements in the LTE WI and see which ones that </w:t>
      </w:r>
      <w:r w:rsidR="005B5316">
        <w:t>are applicable to NR.</w:t>
      </w:r>
      <w:bookmarkEnd w:id="16"/>
      <w:bookmarkEnd w:id="17"/>
      <w:bookmarkEnd w:id="18"/>
      <w:bookmarkEnd w:id="19"/>
      <w:bookmarkEnd w:id="20"/>
    </w:p>
    <w:p w14:paraId="784D26BC" w14:textId="22834835" w:rsidR="00BB05F6" w:rsidRDefault="005B5316" w:rsidP="004803D5">
      <w:r>
        <w:t xml:space="preserve">Then regarding how to capture </w:t>
      </w:r>
      <w:r w:rsidR="005B7B77">
        <w:t>the agreements</w:t>
      </w:r>
      <w:r w:rsidR="00B921BA">
        <w:t xml:space="preserve">, </w:t>
      </w:r>
      <w:r w:rsidR="005B7B77">
        <w:t xml:space="preserve">we can follow the same </w:t>
      </w:r>
      <w:r w:rsidR="009B0BF2">
        <w:t>approach as in the LTE WI and rely on the chairman</w:t>
      </w:r>
      <w:r w:rsidR="00AF4D77">
        <w:t>’s notes</w:t>
      </w:r>
      <w:r w:rsidR="000A282C">
        <w:t xml:space="preserve">. </w:t>
      </w:r>
      <w:r w:rsidR="002B27DD">
        <w:t>Later</w:t>
      </w:r>
      <w:r w:rsidR="00B45739">
        <w:t xml:space="preserve">, once the </w:t>
      </w:r>
      <w:r w:rsidR="004A43BC">
        <w:t>solutions ha</w:t>
      </w:r>
      <w:r w:rsidR="004660E4">
        <w:t>ve</w:t>
      </w:r>
      <w:r w:rsidR="004A43BC">
        <w:t xml:space="preserve"> progressed</w:t>
      </w:r>
      <w:r w:rsidR="003A57C0">
        <w:t xml:space="preserve"> some more</w:t>
      </w:r>
      <w:r w:rsidR="005F0458">
        <w:t xml:space="preserve">, we can create a running stage-2 CR to capture </w:t>
      </w:r>
      <w:r w:rsidR="004660E4">
        <w:t>what has been agreed.</w:t>
      </w:r>
    </w:p>
    <w:p w14:paraId="1515D098" w14:textId="4224721C" w:rsidR="006C0CEA" w:rsidRDefault="001E164F" w:rsidP="006C0CEA">
      <w:pPr>
        <w:pStyle w:val="Proposal"/>
        <w:jc w:val="left"/>
      </w:pPr>
      <w:bookmarkStart w:id="21" w:name="_Toc721680"/>
      <w:bookmarkStart w:id="22" w:name="_Toc783711"/>
      <w:bookmarkStart w:id="23" w:name="_Toc788816"/>
      <w:bookmarkStart w:id="24" w:name="_Toc1043132"/>
      <w:bookmarkStart w:id="25" w:name="_Toc1043836"/>
      <w:r>
        <w:t xml:space="preserve">Rely on chairman’s notes to capture </w:t>
      </w:r>
      <w:r w:rsidR="006C0CEA">
        <w:t xml:space="preserve">agreements in the initial phase </w:t>
      </w:r>
      <w:r w:rsidR="00421F99">
        <w:t xml:space="preserve">of </w:t>
      </w:r>
      <w:r w:rsidR="000C49E3">
        <w:t>the work item</w:t>
      </w:r>
      <w:r w:rsidR="006C0CEA">
        <w:t xml:space="preserve">. Later </w:t>
      </w:r>
      <w:proofErr w:type="gramStart"/>
      <w:r w:rsidR="00BA094E">
        <w:t>on</w:t>
      </w:r>
      <w:proofErr w:type="gramEnd"/>
      <w:r w:rsidR="006C0CEA">
        <w:t xml:space="preserve"> </w:t>
      </w:r>
      <w:r w:rsidR="0087135A">
        <w:t xml:space="preserve">a running </w:t>
      </w:r>
      <w:r w:rsidR="006C0CEA">
        <w:t xml:space="preserve">stage-2 CR </w:t>
      </w:r>
      <w:r w:rsidR="000C49E3">
        <w:t>should be created</w:t>
      </w:r>
      <w:r w:rsidR="00421F99">
        <w:t>.</w:t>
      </w:r>
      <w:bookmarkEnd w:id="21"/>
      <w:bookmarkEnd w:id="22"/>
      <w:bookmarkEnd w:id="23"/>
      <w:bookmarkEnd w:id="24"/>
      <w:bookmarkEnd w:id="25"/>
    </w:p>
    <w:p w14:paraId="31F2FBCE" w14:textId="4F16CBCA" w:rsidR="00F80C0C" w:rsidRDefault="00197E46" w:rsidP="004803D5">
      <w:r>
        <w:t>In the next sections we discuss the NR objectives in more detail and see how they differ from the LTE ones.</w:t>
      </w:r>
    </w:p>
    <w:p w14:paraId="151A7415" w14:textId="22C179D2" w:rsidR="00106ABF" w:rsidRPr="00111F78" w:rsidRDefault="007D308B" w:rsidP="00F52F5C">
      <w:pPr>
        <w:pStyle w:val="Heading2"/>
      </w:pPr>
      <w:r>
        <w:t>Objective #1</w:t>
      </w:r>
      <w:r w:rsidR="00F52F5C">
        <w:t xml:space="preserve"> – </w:t>
      </w:r>
      <w:r w:rsidR="00106ABF" w:rsidRPr="00111F78">
        <w:t>Mobility interruption enhancements</w:t>
      </w:r>
    </w:p>
    <w:p w14:paraId="6CD07389" w14:textId="2B6C049D" w:rsidR="00534D2C" w:rsidRDefault="00111F8C" w:rsidP="00534D2C">
      <w:r>
        <w:t xml:space="preserve">According to the NR </w:t>
      </w:r>
      <w:r w:rsidR="00AE4852">
        <w:t>WI, the solutions for reducing handover interruption include but are not limited to</w:t>
      </w:r>
      <w:r w:rsidR="00961FF4">
        <w:t>:</w:t>
      </w:r>
      <w:r w:rsidR="00534D2C">
        <w:t xml:space="preserve">   </w:t>
      </w:r>
    </w:p>
    <w:p w14:paraId="3D69FC0E" w14:textId="712FBE53" w:rsidR="00106ABF" w:rsidRDefault="00106ABF" w:rsidP="00534D2C">
      <w:pPr>
        <w:pStyle w:val="ListParagraph"/>
        <w:numPr>
          <w:ilvl w:val="0"/>
          <w:numId w:val="16"/>
        </w:numPr>
      </w:pPr>
      <w:r>
        <w:t xml:space="preserve">Handover with simultaneous connectivity with source cell and target cell. </w:t>
      </w:r>
    </w:p>
    <w:p w14:paraId="69733B1C" w14:textId="4135CA2A" w:rsidR="00534D2C" w:rsidRDefault="00106ABF" w:rsidP="00604A7E">
      <w:pPr>
        <w:pStyle w:val="ListParagraph"/>
        <w:numPr>
          <w:ilvl w:val="0"/>
          <w:numId w:val="16"/>
        </w:numPr>
      </w:pPr>
      <w:r>
        <w:t>Make-before-brea</w:t>
      </w:r>
      <w:r w:rsidR="005F7569">
        <w:t>k</w:t>
      </w:r>
    </w:p>
    <w:p w14:paraId="3C7DABAC" w14:textId="7B305483" w:rsidR="00185C4F" w:rsidRDefault="00185C4F" w:rsidP="00604A7E">
      <w:pPr>
        <w:pStyle w:val="ListParagraph"/>
        <w:numPr>
          <w:ilvl w:val="0"/>
          <w:numId w:val="16"/>
        </w:numPr>
      </w:pPr>
      <w:r>
        <w:t>RACH-less</w:t>
      </w:r>
      <w:r w:rsidR="00D06A64">
        <w:t xml:space="preserve"> handover</w:t>
      </w:r>
    </w:p>
    <w:p w14:paraId="5D419DD3" w14:textId="52D3C333" w:rsidR="00F127DE" w:rsidRDefault="004D0F29" w:rsidP="004D0F29">
      <w:r>
        <w:t xml:space="preserve">The </w:t>
      </w:r>
      <w:r w:rsidR="00185C4F">
        <w:t>first two</w:t>
      </w:r>
      <w:r>
        <w:t xml:space="preserve"> solutions are also being discussed in the LTE WI. The first solution refers</w:t>
      </w:r>
      <w:r w:rsidR="00F127DE">
        <w:t xml:space="preserve"> to</w:t>
      </w:r>
      <w:r w:rsidR="00C64D59">
        <w:t xml:space="preserve"> handover based on dual connectivity (DC)</w:t>
      </w:r>
      <w:r w:rsidR="008E52A6">
        <w:t xml:space="preserve"> </w:t>
      </w:r>
      <w:r w:rsidR="00F127DE">
        <w:t xml:space="preserve">and the second solution refers to </w:t>
      </w:r>
      <w:r w:rsidR="00C64D59">
        <w:t>a</w:t>
      </w:r>
      <w:r w:rsidR="007357B3">
        <w:t xml:space="preserve"> possibly</w:t>
      </w:r>
      <w:r w:rsidR="00C64D59">
        <w:t xml:space="preserve"> enhanced version of the make-before</w:t>
      </w:r>
      <w:r w:rsidR="005D2C74">
        <w:t>-</w:t>
      </w:r>
      <w:r w:rsidR="00C64D59">
        <w:t>break handover introduced in LTE Rel-14.</w:t>
      </w:r>
      <w:r w:rsidR="00EF038A">
        <w:t xml:space="preserve"> </w:t>
      </w:r>
      <w:r w:rsidR="005F7569">
        <w:t xml:space="preserve">The </w:t>
      </w:r>
      <w:r w:rsidR="00EF038A">
        <w:t xml:space="preserve">DC based </w:t>
      </w:r>
      <w:r w:rsidR="00C571EE">
        <w:t>solution</w:t>
      </w:r>
      <w:r w:rsidR="00EF038A">
        <w:t xml:space="preserve"> and </w:t>
      </w:r>
      <w:r w:rsidR="00C571EE">
        <w:t xml:space="preserve">the enhanced </w:t>
      </w:r>
      <w:r w:rsidR="00873159">
        <w:t>make-before-break</w:t>
      </w:r>
      <w:r w:rsidR="005F7569">
        <w:t xml:space="preserve"> </w:t>
      </w:r>
      <w:r w:rsidR="00C571EE">
        <w:t xml:space="preserve">solution </w:t>
      </w:r>
      <w:r w:rsidR="005F7569">
        <w:t xml:space="preserve">are also </w:t>
      </w:r>
      <w:r w:rsidR="0050219A">
        <w:t xml:space="preserve">known as </w:t>
      </w:r>
      <w:r w:rsidR="002E1E39">
        <w:t xml:space="preserve">the </w:t>
      </w:r>
      <w:r w:rsidR="0050219A">
        <w:t>split</w:t>
      </w:r>
      <w:r w:rsidR="002E1E39">
        <w:t xml:space="preserve"> and non-split</w:t>
      </w:r>
      <w:r w:rsidR="0050219A">
        <w:t xml:space="preserve"> bearer solution</w:t>
      </w:r>
      <w:r w:rsidR="002E1E39">
        <w:t xml:space="preserve">, respectively, </w:t>
      </w:r>
      <w:r w:rsidR="001A2F89">
        <w:t xml:space="preserve">in the LTE discussions. </w:t>
      </w:r>
      <w:r w:rsidR="00185C4F">
        <w:t xml:space="preserve">The third solution is not a solution </w:t>
      </w:r>
      <w:r w:rsidR="00F27EEE">
        <w:t xml:space="preserve">on its own </w:t>
      </w:r>
      <w:r w:rsidR="00185C4F">
        <w:t xml:space="preserve">but </w:t>
      </w:r>
      <w:r w:rsidR="00BF3B47">
        <w:t xml:space="preserve">should rather </w:t>
      </w:r>
      <w:proofErr w:type="gramStart"/>
      <w:r w:rsidR="00BF3B47">
        <w:t>be seen as</w:t>
      </w:r>
      <w:proofErr w:type="gramEnd"/>
      <w:r w:rsidR="00BF3B47">
        <w:t xml:space="preserve"> </w:t>
      </w:r>
      <w:r w:rsidR="00185C4F">
        <w:t xml:space="preserve">a </w:t>
      </w:r>
      <w:r w:rsidR="008F6B0B">
        <w:t>complement to the two other solutions.</w:t>
      </w:r>
    </w:p>
    <w:p w14:paraId="1CA34BE8" w14:textId="49513A54" w:rsidR="00197E46" w:rsidRDefault="00197E46" w:rsidP="004D0F29">
      <w:r>
        <w:t xml:space="preserve">Based on the email discussion </w:t>
      </w:r>
      <w:r>
        <w:fldChar w:fldCharType="begin"/>
      </w:r>
      <w:r>
        <w:instrText xml:space="preserve"> REF _Ref251390 \r \h </w:instrText>
      </w:r>
      <w:r>
        <w:fldChar w:fldCharType="separate"/>
      </w:r>
      <w:r>
        <w:t>[3]</w:t>
      </w:r>
      <w:r>
        <w:fldChar w:fldCharType="end"/>
      </w:r>
      <w:r w:rsidR="005D2C74">
        <w:t xml:space="preserve">, it appears the second solution (make-before-break) is </w:t>
      </w:r>
      <w:r w:rsidR="00697AB8">
        <w:t xml:space="preserve">the solution that is favoured by most companies for LTE. </w:t>
      </w:r>
      <w:r w:rsidR="00161F07">
        <w:t>Following the principle in proposal 1, it would be beneficial if the same solution is spec</w:t>
      </w:r>
      <w:r w:rsidR="00303A33">
        <w:t>ified also for NR.</w:t>
      </w:r>
    </w:p>
    <w:p w14:paraId="101B1A30" w14:textId="53C17E23" w:rsidR="00161F07" w:rsidRDefault="00161F07" w:rsidP="004D0F29">
      <w:pPr>
        <w:pStyle w:val="Proposal"/>
      </w:pPr>
      <w:bookmarkStart w:id="26" w:name="_Toc262848"/>
      <w:bookmarkStart w:id="27" w:name="_Toc263594"/>
      <w:bookmarkStart w:id="28" w:name="_Toc264604"/>
      <w:bookmarkStart w:id="29" w:name="_Toc721681"/>
      <w:bookmarkStart w:id="30" w:name="_Toc783712"/>
      <w:bookmarkStart w:id="31" w:name="_Toc788817"/>
      <w:bookmarkStart w:id="32" w:name="_Toc1043133"/>
      <w:bookmarkStart w:id="33" w:name="_Toc1043837"/>
      <w:r>
        <w:t xml:space="preserve">Aim to specify a common solution for enhanced make-before-break handover </w:t>
      </w:r>
      <w:r w:rsidR="00523894">
        <w:t xml:space="preserve">(aka </w:t>
      </w:r>
      <w:r w:rsidR="00E521BC">
        <w:t>non-split</w:t>
      </w:r>
      <w:r w:rsidR="00523894">
        <w:t xml:space="preserve"> bearer</w:t>
      </w:r>
      <w:r w:rsidR="003556F2">
        <w:t xml:space="preserve"> solution</w:t>
      </w:r>
      <w:r w:rsidR="00523894">
        <w:t xml:space="preserve">) </w:t>
      </w:r>
      <w:r>
        <w:t>in LTE and NR.</w:t>
      </w:r>
      <w:bookmarkEnd w:id="26"/>
      <w:bookmarkEnd w:id="27"/>
      <w:bookmarkEnd w:id="28"/>
      <w:bookmarkEnd w:id="29"/>
      <w:bookmarkEnd w:id="30"/>
      <w:bookmarkEnd w:id="31"/>
      <w:bookmarkEnd w:id="32"/>
      <w:bookmarkEnd w:id="33"/>
    </w:p>
    <w:p w14:paraId="6200590D" w14:textId="55C1814D" w:rsidR="006673A3" w:rsidRDefault="00CE5A82" w:rsidP="006E32BF">
      <w:r>
        <w:t>The third solution listed above (</w:t>
      </w:r>
      <w:r w:rsidR="005362C9">
        <w:t>RACH-less handover</w:t>
      </w:r>
      <w:r>
        <w:t>)</w:t>
      </w:r>
      <w:r w:rsidR="00303A33">
        <w:t xml:space="preserve"> is not able to</w:t>
      </w:r>
      <w:r w:rsidR="005362C9">
        <w:t xml:space="preserve"> reach </w:t>
      </w:r>
      <w:r>
        <w:t xml:space="preserve">the </w:t>
      </w:r>
      <w:r w:rsidR="005362C9">
        <w:t xml:space="preserve">~0ms interruption target </w:t>
      </w:r>
      <w:r w:rsidR="00303A33">
        <w:t xml:space="preserve">on its own </w:t>
      </w:r>
      <w:r w:rsidR="005362C9">
        <w:t xml:space="preserve">but for this we must use </w:t>
      </w:r>
      <w:r w:rsidR="00185C4F">
        <w:t xml:space="preserve">one </w:t>
      </w:r>
      <w:r>
        <w:t xml:space="preserve">of the other two solutions </w:t>
      </w:r>
      <w:r w:rsidR="00185C4F">
        <w:t>(DC</w:t>
      </w:r>
      <w:r w:rsidR="00EE61FE">
        <w:t xml:space="preserve"> </w:t>
      </w:r>
      <w:r w:rsidR="00185C4F">
        <w:t>based handover or make-before-break)</w:t>
      </w:r>
      <w:r w:rsidR="005362C9">
        <w:t xml:space="preserve">. </w:t>
      </w:r>
      <w:r w:rsidR="00185C4F">
        <w:t>Furthermore,</w:t>
      </w:r>
      <w:r w:rsidR="005362C9">
        <w:t xml:space="preserve"> </w:t>
      </w:r>
      <w:r w:rsidR="00185C4F">
        <w:t>neither DC</w:t>
      </w:r>
      <w:r w:rsidR="005A5E3A">
        <w:t xml:space="preserve"> </w:t>
      </w:r>
      <w:r w:rsidR="00185C4F">
        <w:t xml:space="preserve">based handover nor make-before-break </w:t>
      </w:r>
      <w:r w:rsidR="005362C9">
        <w:t xml:space="preserve">rely on RACH-less and can reach the ~0ms interruption target even without it. </w:t>
      </w:r>
      <w:proofErr w:type="gramStart"/>
      <w:r w:rsidR="005362C9">
        <w:t>So</w:t>
      </w:r>
      <w:proofErr w:type="gramEnd"/>
      <w:r w:rsidR="005362C9">
        <w:t xml:space="preserve"> in this sense RACH-less handover is not essential for the WI objective.</w:t>
      </w:r>
      <w:r w:rsidR="00185C4F">
        <w:t xml:space="preserve"> </w:t>
      </w:r>
      <w:r w:rsidR="00116F94">
        <w:t xml:space="preserve">However, </w:t>
      </w:r>
      <w:r w:rsidR="006E32BF">
        <w:t xml:space="preserve">RACH-less </w:t>
      </w:r>
      <w:r w:rsidR="00D06A64">
        <w:t xml:space="preserve">handover </w:t>
      </w:r>
      <w:r w:rsidR="006E32BF">
        <w:t xml:space="preserve">may still be useful as </w:t>
      </w:r>
      <w:r w:rsidR="00D06A64">
        <w:t xml:space="preserve">a </w:t>
      </w:r>
      <w:r w:rsidR="006E32BF">
        <w:t>complement since it reduces the time it takes to establish the connecti</w:t>
      </w:r>
      <w:r w:rsidR="00116F94">
        <w:t>on to the target cell</w:t>
      </w:r>
      <w:r w:rsidR="006673A3">
        <w:t xml:space="preserve">, which is important </w:t>
      </w:r>
      <w:r w:rsidR="00116F94">
        <w:t xml:space="preserve">if </w:t>
      </w:r>
      <w:r w:rsidR="00303A33">
        <w:t xml:space="preserve">for example </w:t>
      </w:r>
      <w:r w:rsidR="00116F94">
        <w:t>the source cell connection is deteriorating quickly.</w:t>
      </w:r>
      <w:r w:rsidR="008865C6">
        <w:t xml:space="preserve"> RACH-less </w:t>
      </w:r>
      <w:r w:rsidR="00D06A64">
        <w:t xml:space="preserve">handover </w:t>
      </w:r>
      <w:r w:rsidR="008865C6">
        <w:t>is already supported in LTE since Rel-14 and is therefore not listed as an objective in the LTE WI.</w:t>
      </w:r>
    </w:p>
    <w:p w14:paraId="422205B9" w14:textId="3E399EF2" w:rsidR="00012A9D" w:rsidRDefault="006673A3" w:rsidP="0048031A">
      <w:pPr>
        <w:pStyle w:val="Proposal"/>
      </w:pPr>
      <w:bookmarkStart w:id="34" w:name="_Toc262849"/>
      <w:bookmarkStart w:id="35" w:name="_Toc263595"/>
      <w:bookmarkStart w:id="36" w:name="_Toc264605"/>
      <w:bookmarkStart w:id="37" w:name="_Toc721682"/>
      <w:bookmarkStart w:id="38" w:name="_Toc783713"/>
      <w:bookmarkStart w:id="39" w:name="_Toc788818"/>
      <w:bookmarkStart w:id="40" w:name="_Toc1043134"/>
      <w:bookmarkStart w:id="41" w:name="_Toc1043838"/>
      <w:r>
        <w:t xml:space="preserve">Discuss if RACH-less </w:t>
      </w:r>
      <w:r w:rsidR="00D06A64">
        <w:t xml:space="preserve">handover </w:t>
      </w:r>
      <w:r>
        <w:t xml:space="preserve">should be specified </w:t>
      </w:r>
      <w:r w:rsidR="008865C6">
        <w:t xml:space="preserve">in NR </w:t>
      </w:r>
      <w:r>
        <w:t xml:space="preserve">as </w:t>
      </w:r>
      <w:r w:rsidR="008865C6">
        <w:t xml:space="preserve">a </w:t>
      </w:r>
      <w:r>
        <w:t>complementary solution for reduced handover interruption.</w:t>
      </w:r>
      <w:bookmarkEnd w:id="34"/>
      <w:bookmarkEnd w:id="35"/>
      <w:bookmarkEnd w:id="36"/>
      <w:bookmarkEnd w:id="37"/>
      <w:bookmarkEnd w:id="38"/>
      <w:bookmarkEnd w:id="39"/>
      <w:bookmarkEnd w:id="40"/>
      <w:bookmarkEnd w:id="41"/>
    </w:p>
    <w:p w14:paraId="5FA739B1" w14:textId="1E1B567E" w:rsidR="00061A17" w:rsidRDefault="00B35BC7" w:rsidP="0048031A">
      <w:r>
        <w:lastRenderedPageBreak/>
        <w:t xml:space="preserve">Another difference compared to the LTE WI is that the </w:t>
      </w:r>
      <w:r w:rsidR="006B5699">
        <w:t xml:space="preserve">NR WI also </w:t>
      </w:r>
      <w:r w:rsidR="00A25773">
        <w:t xml:space="preserve">aims to reduce </w:t>
      </w:r>
      <w:r w:rsidR="00B219A8">
        <w:t xml:space="preserve">interruption timer during </w:t>
      </w:r>
      <w:r w:rsidR="00F741AE">
        <w:t xml:space="preserve">SCG change. </w:t>
      </w:r>
      <w:r w:rsidR="00447B2F">
        <w:t>In our view</w:t>
      </w:r>
      <w:r w:rsidR="00053E70">
        <w:t xml:space="preserve"> </w:t>
      </w:r>
      <w:r w:rsidR="00356C08">
        <w:t xml:space="preserve">it is more important to avoid interruption during </w:t>
      </w:r>
      <w:r w:rsidR="00FF684B">
        <w:t xml:space="preserve">a regular </w:t>
      </w:r>
      <w:r w:rsidR="00356C08">
        <w:t xml:space="preserve">handover since at </w:t>
      </w:r>
      <w:r w:rsidR="009E6329">
        <w:t>SCG change the</w:t>
      </w:r>
      <w:r w:rsidR="00746098">
        <w:t xml:space="preserve"> </w:t>
      </w:r>
      <w:r w:rsidR="00FE37F8">
        <w:t xml:space="preserve">UE </w:t>
      </w:r>
      <w:r w:rsidR="00351DCA">
        <w:t>can</w:t>
      </w:r>
      <w:r w:rsidR="00746098">
        <w:t xml:space="preserve"> </w:t>
      </w:r>
      <w:r w:rsidR="004631BB">
        <w:t xml:space="preserve">continue to </w:t>
      </w:r>
      <w:r w:rsidR="001324F1">
        <w:t>transmit and receive data via the</w:t>
      </w:r>
      <w:r w:rsidR="00DB706E">
        <w:t xml:space="preserve"> MCG</w:t>
      </w:r>
      <w:r w:rsidR="00FE37F8">
        <w:t xml:space="preserve">. </w:t>
      </w:r>
      <w:r w:rsidR="00DD4AE5">
        <w:t xml:space="preserve">However, </w:t>
      </w:r>
      <w:r w:rsidR="00DB706E">
        <w:t xml:space="preserve">if the </w:t>
      </w:r>
      <w:r w:rsidR="0052717A">
        <w:t>additional work to specify this is small we are open to consider this</w:t>
      </w:r>
      <w:r w:rsidR="00F373E6">
        <w:t>.</w:t>
      </w:r>
    </w:p>
    <w:p w14:paraId="7FB8F234" w14:textId="58465E0F" w:rsidR="000352B6" w:rsidRDefault="00475D0D" w:rsidP="0048031A">
      <w:pPr>
        <w:pStyle w:val="Proposal"/>
      </w:pPr>
      <w:bookmarkStart w:id="42" w:name="_Toc788819"/>
      <w:bookmarkStart w:id="43" w:name="_Toc1043135"/>
      <w:bookmarkStart w:id="44" w:name="_Toc1043839"/>
      <w:r>
        <w:t>Solutions for r</w:t>
      </w:r>
      <w:r w:rsidR="00673AA4">
        <w:t>educing interruption</w:t>
      </w:r>
      <w:r w:rsidR="004C7494">
        <w:t xml:space="preserve"> time</w:t>
      </w:r>
      <w:r w:rsidR="00673AA4">
        <w:t xml:space="preserve"> during SCG change </w:t>
      </w:r>
      <w:r>
        <w:t xml:space="preserve">can be considered </w:t>
      </w:r>
      <w:r w:rsidR="00A73128">
        <w:t>provided the additional</w:t>
      </w:r>
      <w:r>
        <w:t xml:space="preserve"> </w:t>
      </w:r>
      <w:r w:rsidR="001459A6">
        <w:t xml:space="preserve">specification work </w:t>
      </w:r>
      <w:r w:rsidR="00A73128">
        <w:t>is limited.</w:t>
      </w:r>
      <w:bookmarkEnd w:id="42"/>
      <w:bookmarkEnd w:id="43"/>
      <w:bookmarkEnd w:id="44"/>
    </w:p>
    <w:p w14:paraId="5154DB09" w14:textId="2D29EE7A" w:rsidR="000D63E5" w:rsidRDefault="007D308B" w:rsidP="00F52F5C">
      <w:pPr>
        <w:pStyle w:val="Heading2"/>
      </w:pPr>
      <w:r>
        <w:t>Objective #2</w:t>
      </w:r>
      <w:r w:rsidR="00F52F5C">
        <w:t xml:space="preserve"> –</w:t>
      </w:r>
      <w:r>
        <w:t xml:space="preserve"> </w:t>
      </w:r>
      <w:r w:rsidR="000D63E5">
        <w:t>Mobility robustness enhancements</w:t>
      </w:r>
    </w:p>
    <w:p w14:paraId="0CFE0805" w14:textId="505DB7AC" w:rsidR="00961FF4" w:rsidRDefault="00961FF4" w:rsidP="00961FF4">
      <w:r>
        <w:t xml:space="preserve">According to the NR WI, the solutions for improving </w:t>
      </w:r>
      <w:r w:rsidR="002A25DB">
        <w:t>handover</w:t>
      </w:r>
      <w:r>
        <w:t xml:space="preserve"> robustness include but are not limited to:   </w:t>
      </w:r>
    </w:p>
    <w:p w14:paraId="31BB2952" w14:textId="77777777" w:rsidR="000D0A35" w:rsidRDefault="000D0A35" w:rsidP="000D0A35">
      <w:pPr>
        <w:pStyle w:val="ListParagraph"/>
        <w:numPr>
          <w:ilvl w:val="0"/>
          <w:numId w:val="16"/>
        </w:numPr>
      </w:pPr>
      <w:r>
        <w:t xml:space="preserve">Conditional handover </w:t>
      </w:r>
    </w:p>
    <w:p w14:paraId="2EDAD325" w14:textId="742D0255" w:rsidR="000D63E5" w:rsidRDefault="000D0A35" w:rsidP="000D0A35">
      <w:pPr>
        <w:pStyle w:val="ListParagraph"/>
        <w:numPr>
          <w:ilvl w:val="0"/>
          <w:numId w:val="16"/>
        </w:numPr>
      </w:pPr>
      <w:r>
        <w:t>Fast handover failure recovery</w:t>
      </w:r>
    </w:p>
    <w:p w14:paraId="4D15274F" w14:textId="65193A40" w:rsidR="00D4520E" w:rsidRDefault="00256648" w:rsidP="004803D5">
      <w:r>
        <w:t>Condi</w:t>
      </w:r>
      <w:r w:rsidR="00F32E56">
        <w:t>tional handover</w:t>
      </w:r>
      <w:r w:rsidR="000D0A35">
        <w:t xml:space="preserve"> is also the main solution for mobility robustness in LTE. For the same reasons</w:t>
      </w:r>
      <w:r w:rsidR="00697AB8">
        <w:t xml:space="preserve"> </w:t>
      </w:r>
      <w:r w:rsidR="00161F07">
        <w:t xml:space="preserve">mentioned for </w:t>
      </w:r>
      <w:r w:rsidR="000D0A35">
        <w:t xml:space="preserve">handover interruption, it is beneficial if </w:t>
      </w:r>
      <w:r w:rsidR="00161F07">
        <w:t xml:space="preserve">the conditional handover solution is aligned </w:t>
      </w:r>
      <w:r w:rsidR="00F32E56">
        <w:t>between</w:t>
      </w:r>
      <w:r w:rsidR="00161F07">
        <w:t xml:space="preserve"> </w:t>
      </w:r>
      <w:r w:rsidR="000D0A35">
        <w:t xml:space="preserve">LTE and NR. </w:t>
      </w:r>
    </w:p>
    <w:p w14:paraId="5DCEE11E" w14:textId="1D46003C" w:rsidR="000D0A35" w:rsidRDefault="000D0A35" w:rsidP="000D0A35">
      <w:pPr>
        <w:pStyle w:val="Proposal"/>
      </w:pPr>
      <w:bookmarkStart w:id="45" w:name="_Toc262850"/>
      <w:bookmarkStart w:id="46" w:name="_Toc263596"/>
      <w:bookmarkStart w:id="47" w:name="_Toc264606"/>
      <w:bookmarkStart w:id="48" w:name="_Toc721683"/>
      <w:bookmarkStart w:id="49" w:name="_Toc783714"/>
      <w:bookmarkStart w:id="50" w:name="_Toc788820"/>
      <w:bookmarkStart w:id="51" w:name="_Toc1043136"/>
      <w:bookmarkStart w:id="52" w:name="_Toc1043840"/>
      <w:r>
        <w:t>Aim to specify a common solution for conditional handover in LTE and NR.</w:t>
      </w:r>
      <w:bookmarkEnd w:id="45"/>
      <w:bookmarkEnd w:id="46"/>
      <w:bookmarkEnd w:id="47"/>
      <w:bookmarkEnd w:id="48"/>
      <w:bookmarkEnd w:id="49"/>
      <w:bookmarkEnd w:id="50"/>
      <w:bookmarkEnd w:id="51"/>
      <w:bookmarkEnd w:id="52"/>
    </w:p>
    <w:p w14:paraId="109FA1F0" w14:textId="4A9A03A0" w:rsidR="000D0A35" w:rsidRDefault="000D0A35" w:rsidP="004803D5">
      <w:r>
        <w:t>The second so</w:t>
      </w:r>
      <w:r w:rsidR="002E5250">
        <w:t xml:space="preserve">lution is </w:t>
      </w:r>
      <w:r w:rsidR="008865C6">
        <w:t xml:space="preserve">only mentioned in the NR work item and is </w:t>
      </w:r>
      <w:proofErr w:type="gramStart"/>
      <w:r w:rsidR="008865C6">
        <w:t xml:space="preserve">actually </w:t>
      </w:r>
      <w:r w:rsidR="002E5250">
        <w:t>not</w:t>
      </w:r>
      <w:proofErr w:type="gramEnd"/>
      <w:r w:rsidR="002E5250">
        <w:t xml:space="preserve"> a single solution but is rather a placeholder for all types of enhancements that reduces the time it takes for the UE to recover from a handover failure. One such enhancement is the T312 timer in LTE which causes the UE to trigger RRC re-establishment early if physical layer problems has been detected </w:t>
      </w:r>
      <w:r w:rsidR="003F54C5">
        <w:t xml:space="preserve">and a measurement report has been sent but no handover </w:t>
      </w:r>
      <w:r w:rsidR="00303A33">
        <w:t>command has been received</w:t>
      </w:r>
      <w:r w:rsidR="003F54C5">
        <w:t>.</w:t>
      </w:r>
      <w:r w:rsidR="008865C6">
        <w:t xml:space="preserve"> </w:t>
      </w:r>
    </w:p>
    <w:p w14:paraId="08053F29" w14:textId="74518099" w:rsidR="003742AC" w:rsidRDefault="003F54C5" w:rsidP="006E062C">
      <w:pPr>
        <w:pStyle w:val="Proposal"/>
      </w:pPr>
      <w:bookmarkStart w:id="53" w:name="_Toc262851"/>
      <w:bookmarkStart w:id="54" w:name="_Toc263597"/>
      <w:bookmarkStart w:id="55" w:name="_Toc264607"/>
      <w:bookmarkStart w:id="56" w:name="_Toc721684"/>
      <w:bookmarkStart w:id="57" w:name="_Toc783715"/>
      <w:bookmarkStart w:id="58" w:name="_Toc788821"/>
      <w:bookmarkStart w:id="59" w:name="_Toc1043137"/>
      <w:bookmarkStart w:id="60" w:name="_Toc1043841"/>
      <w:r>
        <w:t xml:space="preserve">Mechanisms to improve handover failure recovery (e.g. T312 timer) can be studied but </w:t>
      </w:r>
      <w:r w:rsidR="00161F07">
        <w:t>with less priority</w:t>
      </w:r>
      <w:r>
        <w:t>.</w:t>
      </w:r>
      <w:bookmarkEnd w:id="53"/>
      <w:bookmarkEnd w:id="54"/>
      <w:bookmarkEnd w:id="55"/>
      <w:bookmarkEnd w:id="56"/>
      <w:bookmarkEnd w:id="57"/>
      <w:bookmarkEnd w:id="58"/>
      <w:bookmarkEnd w:id="59"/>
      <w:bookmarkEnd w:id="60"/>
    </w:p>
    <w:p w14:paraId="075C909E" w14:textId="75163585" w:rsidR="00392EF7" w:rsidRPr="00CE0424" w:rsidRDefault="002C1C2B" w:rsidP="009E0B8F">
      <w:r>
        <w:t>Unlike the LTE WI</w:t>
      </w:r>
      <w:r w:rsidR="00A51296">
        <w:t xml:space="preserve"> </w:t>
      </w:r>
      <w:r w:rsidR="002A25DB">
        <w:t>t</w:t>
      </w:r>
      <w:r w:rsidR="000E2B3E">
        <w:t xml:space="preserve">he </w:t>
      </w:r>
      <w:r w:rsidR="00717D62">
        <w:t xml:space="preserve">NR WI also aims to improve </w:t>
      </w:r>
      <w:r>
        <w:t xml:space="preserve">mobility </w:t>
      </w:r>
      <w:r w:rsidR="002C74D0">
        <w:t xml:space="preserve">robustness </w:t>
      </w:r>
      <w:r>
        <w:t>at</w:t>
      </w:r>
      <w:r w:rsidR="002C74D0">
        <w:t xml:space="preserve"> SCG change. </w:t>
      </w:r>
      <w:proofErr w:type="gramStart"/>
      <w:r w:rsidR="00624A57">
        <w:t>At the moment</w:t>
      </w:r>
      <w:proofErr w:type="gramEnd"/>
      <w:r w:rsidR="00624A57">
        <w:t xml:space="preserve"> it is not clear </w:t>
      </w:r>
      <w:r w:rsidR="009C75B1">
        <w:t>wh</w:t>
      </w:r>
      <w:r w:rsidR="009E0B8F">
        <w:t xml:space="preserve">at </w:t>
      </w:r>
      <w:r w:rsidR="006B1DE6">
        <w:t xml:space="preserve">type of enhancements that should </w:t>
      </w:r>
      <w:r w:rsidR="00392EF7">
        <w:t>be considered here.</w:t>
      </w:r>
    </w:p>
    <w:p w14:paraId="4C54ACFC" w14:textId="77777777" w:rsidR="00C01F33" w:rsidRPr="00CE0424" w:rsidRDefault="00C01F33" w:rsidP="00CE0424">
      <w:pPr>
        <w:pStyle w:val="Heading1"/>
      </w:pPr>
      <w:r w:rsidRPr="00CE0424">
        <w:t>Conclusion</w:t>
      </w:r>
    </w:p>
    <w:p w14:paraId="373705F0" w14:textId="77777777" w:rsidR="00E5515A" w:rsidRDefault="00303A33" w:rsidP="0075248C">
      <w:pPr>
        <w:pStyle w:val="BodyText"/>
        <w:rPr>
          <w:noProof/>
        </w:rPr>
      </w:pPr>
      <w:r>
        <w:t xml:space="preserve">In this contribution we discussed the scope and </w:t>
      </w:r>
      <w:r w:rsidR="0075248C">
        <w:t xml:space="preserve">ways of working for the new WI on NR mobility enhancements.  </w:t>
      </w:r>
      <w:r w:rsidR="0075248C" w:rsidRPr="00CE0424">
        <w:t xml:space="preserve">Based on the discussion in section </w:t>
      </w:r>
      <w:r w:rsidR="0075248C" w:rsidRPr="00CE0424">
        <w:rPr>
          <w:highlight w:val="cyan"/>
        </w:rPr>
        <w:fldChar w:fldCharType="begin"/>
      </w:r>
      <w:r w:rsidR="0075248C" w:rsidRPr="00CE0424">
        <w:instrText xml:space="preserve"> REF _Ref178064866 \r \h </w:instrText>
      </w:r>
      <w:r w:rsidR="0075248C" w:rsidRPr="00CE0424">
        <w:rPr>
          <w:highlight w:val="cyan"/>
        </w:rPr>
      </w:r>
      <w:r w:rsidR="0075248C" w:rsidRPr="00CE0424">
        <w:rPr>
          <w:highlight w:val="cyan"/>
        </w:rPr>
        <w:fldChar w:fldCharType="separate"/>
      </w:r>
      <w:r w:rsidR="0075248C">
        <w:t>2</w:t>
      </w:r>
      <w:r w:rsidR="0075248C" w:rsidRPr="00CE0424">
        <w:rPr>
          <w:highlight w:val="cyan"/>
        </w:rPr>
        <w:fldChar w:fldCharType="end"/>
      </w:r>
      <w:r w:rsidR="0075248C" w:rsidRPr="00CE0424">
        <w:t xml:space="preserve"> we propose the following:</w:t>
      </w:r>
      <w:r w:rsidR="0075248C">
        <w:rPr>
          <w:b/>
          <w:bCs/>
        </w:rPr>
        <w:fldChar w:fldCharType="begin"/>
      </w:r>
      <w:r w:rsidR="0075248C">
        <w:rPr>
          <w:b/>
          <w:bCs/>
        </w:rPr>
        <w:instrText xml:space="preserve"> TOC \f \n \p " " \t "Proposal;1" </w:instrText>
      </w:r>
      <w:r w:rsidR="0075248C">
        <w:rPr>
          <w:b/>
          <w:bCs/>
        </w:rPr>
        <w:fldChar w:fldCharType="separate"/>
      </w:r>
    </w:p>
    <w:p w14:paraId="54EBAA1E" w14:textId="77777777" w:rsidR="00E5515A" w:rsidRDefault="00E5515A">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In general, we should try to align the solutions for NR and LTE to reduce the evaluation and specification effort.</w:t>
      </w:r>
    </w:p>
    <w:p w14:paraId="6FEA2A3F" w14:textId="77777777" w:rsidR="00E5515A" w:rsidRDefault="00E5515A">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When making an agreement for one RAT check if the same agreement can be made also for the other RAT.</w:t>
      </w:r>
      <w:bookmarkStart w:id="61" w:name="_GoBack"/>
      <w:bookmarkEnd w:id="61"/>
    </w:p>
    <w:p w14:paraId="05639B91" w14:textId="77777777" w:rsidR="00E5515A" w:rsidRDefault="00E5515A">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The NR WI should start by checking the existing agreements in the LTE WI and see which ones that are applicable to NR.</w:t>
      </w:r>
    </w:p>
    <w:p w14:paraId="5953B3B6" w14:textId="77777777" w:rsidR="00E5515A" w:rsidRDefault="00E5515A">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Rely on chairman’s notes to capture agreements in the initial phase of the work item. Later on a running stage-2 CR should be created.</w:t>
      </w:r>
    </w:p>
    <w:p w14:paraId="7B222322" w14:textId="77777777" w:rsidR="00E5515A" w:rsidRDefault="00E5515A">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Aim to specify a common solution for enhanced make-before-break handover (aka non-split bearer solution) in LTE and NR.</w:t>
      </w:r>
    </w:p>
    <w:p w14:paraId="67AABD45" w14:textId="77777777" w:rsidR="00E5515A" w:rsidRDefault="00E5515A">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Discuss if RACH-less handover should be specified in NR as a complementary solution for reduced handover interruption.</w:t>
      </w:r>
    </w:p>
    <w:p w14:paraId="1C2BEBE4" w14:textId="77777777" w:rsidR="00E5515A" w:rsidRDefault="00E5515A">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Solutions for reducing interruption time during SCG change can be considered provided the additional specification work is limited.</w:t>
      </w:r>
    </w:p>
    <w:p w14:paraId="5C054BEA" w14:textId="77777777" w:rsidR="00E5515A" w:rsidRDefault="00E5515A">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Aim to specify a common solution for conditional handover in LTE and NR.</w:t>
      </w:r>
    </w:p>
    <w:p w14:paraId="523E31CA" w14:textId="77777777" w:rsidR="00E5515A" w:rsidRDefault="00E5515A">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Mechanisms to improve handover failure recovery (e.g. T312 timer) can be studied but with less priority.</w:t>
      </w:r>
    </w:p>
    <w:p w14:paraId="1A37157B" w14:textId="1C9D3D3F" w:rsidR="00C01F33" w:rsidRPr="0075248C" w:rsidRDefault="0075248C" w:rsidP="006E062C">
      <w:pPr>
        <w:rPr>
          <w:b/>
          <w:bCs/>
        </w:rPr>
      </w:pPr>
      <w:r>
        <w:rPr>
          <w:b/>
          <w:bCs/>
        </w:rPr>
        <w:fldChar w:fldCharType="end"/>
      </w:r>
    </w:p>
    <w:p w14:paraId="4E3FD285" w14:textId="77777777" w:rsidR="00F507D1" w:rsidRPr="00CE0424" w:rsidRDefault="00F507D1" w:rsidP="00CE0424">
      <w:pPr>
        <w:pStyle w:val="Heading1"/>
      </w:pPr>
      <w:bookmarkStart w:id="62" w:name="_In-sequence_SDU_delivery"/>
      <w:bookmarkEnd w:id="62"/>
      <w:r w:rsidRPr="00CE0424">
        <w:lastRenderedPageBreak/>
        <w:t>References</w:t>
      </w:r>
    </w:p>
    <w:bookmarkStart w:id="63" w:name="_Ref174151459"/>
    <w:bookmarkStart w:id="64" w:name="_Ref189809556"/>
    <w:p w14:paraId="7E0F4426" w14:textId="1569B12F" w:rsidR="00303A33" w:rsidRDefault="00303A33" w:rsidP="00311702">
      <w:pPr>
        <w:pStyle w:val="Reference"/>
      </w:pPr>
      <w:r w:rsidRPr="00303A33">
        <w:rPr>
          <w:lang w:val="sv-SE"/>
        </w:rPr>
        <w:fldChar w:fldCharType="begin"/>
      </w:r>
      <w:r w:rsidRPr="00303A33">
        <w:rPr>
          <w:lang w:val="en-US"/>
        </w:rPr>
        <w:instrText xml:space="preserve"> HYPERLINK "http://www.3gpp.org/ftp/tsg_ran/TSG_RAN/TSGR_80/Docs/RP-181433.zip" </w:instrText>
      </w:r>
      <w:r w:rsidRPr="00303A33">
        <w:rPr>
          <w:lang w:val="sv-SE"/>
        </w:rPr>
        <w:fldChar w:fldCharType="separate"/>
      </w:r>
      <w:r w:rsidRPr="00303A33">
        <w:rPr>
          <w:rStyle w:val="Hyperlink"/>
          <w:lang w:val="en-US"/>
        </w:rPr>
        <w:t>RP-181433</w:t>
      </w:r>
      <w:r w:rsidRPr="00303A33">
        <w:fldChar w:fldCharType="end"/>
      </w:r>
      <w:r>
        <w:t xml:space="preserve">, </w:t>
      </w:r>
      <w:r w:rsidRPr="00303A33">
        <w:t>New WID: NR mobility enhancements</w:t>
      </w:r>
      <w:r>
        <w:t>, RAN#80</w:t>
      </w:r>
    </w:p>
    <w:p w14:paraId="60093AA4" w14:textId="2EFEBFC2" w:rsidR="0060200A" w:rsidRDefault="00E5515A" w:rsidP="00311702">
      <w:pPr>
        <w:pStyle w:val="Reference"/>
      </w:pPr>
      <w:hyperlink r:id="rId15" w:history="1">
        <w:r w:rsidR="00303A33" w:rsidRPr="00303A33">
          <w:rPr>
            <w:rStyle w:val="Hyperlink"/>
          </w:rPr>
          <w:t>RP-</w:t>
        </w:r>
      </w:hyperlink>
      <w:hyperlink r:id="rId16" w:history="1">
        <w:r w:rsidR="00303A33" w:rsidRPr="00303A33">
          <w:rPr>
            <w:rStyle w:val="Hyperlink"/>
          </w:rPr>
          <w:t>181475</w:t>
        </w:r>
      </w:hyperlink>
      <w:r w:rsidR="00303A33">
        <w:t xml:space="preserve">, </w:t>
      </w:r>
      <w:r w:rsidR="00303A33" w:rsidRPr="00303A33">
        <w:t>New Work Item on even further Mobility enhancement in E-UTRAN</w:t>
      </w:r>
      <w:r w:rsidR="00303A33">
        <w:t>, RAN#80</w:t>
      </w:r>
    </w:p>
    <w:bookmarkEnd w:id="63"/>
    <w:bookmarkEnd w:id="64"/>
    <w:p w14:paraId="18CB4CF9" w14:textId="22A3B59F" w:rsidR="003A7EF3" w:rsidRPr="00CE0424" w:rsidRDefault="00BA3C51" w:rsidP="00CE0424">
      <w:pPr>
        <w:pStyle w:val="Reference"/>
      </w:pPr>
      <w:r w:rsidRPr="005C175F">
        <w:fldChar w:fldCharType="begin"/>
      </w:r>
      <w:r w:rsidR="001562BA">
        <w:instrText>HYPERLINK "http://www.3gpp.org/ftp/TSG_RAN/WG2_RL2/TSGR2_105/Docs/R2-1900619.zip"</w:instrText>
      </w:r>
      <w:r w:rsidRPr="005C175F">
        <w:fldChar w:fldCharType="separate"/>
      </w:r>
      <w:r w:rsidRPr="005C175F">
        <w:rPr>
          <w:rStyle w:val="Hyperlink"/>
        </w:rPr>
        <w:t>R2-190</w:t>
      </w:r>
      <w:r>
        <w:rPr>
          <w:rStyle w:val="Hyperlink"/>
        </w:rPr>
        <w:t>0</w:t>
      </w:r>
      <w:r w:rsidR="001562BA">
        <w:rPr>
          <w:rStyle w:val="Hyperlink"/>
        </w:rPr>
        <w:t>619</w:t>
      </w:r>
      <w:r w:rsidRPr="005C175F">
        <w:fldChar w:fldCharType="end"/>
      </w:r>
      <w:r>
        <w:t xml:space="preserve">, </w:t>
      </w:r>
      <w:r w:rsidR="00303A33" w:rsidRPr="00303A33">
        <w:t>Email discussion [104#</w:t>
      </w:r>
      <w:proofErr w:type="gramStart"/>
      <w:r w:rsidR="00303A33" w:rsidRPr="00303A33">
        <w:t>61][</w:t>
      </w:r>
      <w:proofErr w:type="gramEnd"/>
      <w:r w:rsidR="00303A33" w:rsidRPr="00303A33">
        <w:t>LTE/</w:t>
      </w:r>
      <w:proofErr w:type="spellStart"/>
      <w:r w:rsidR="00303A33" w:rsidRPr="00303A33">
        <w:t>feMOB</w:t>
      </w:r>
      <w:proofErr w:type="spellEnd"/>
      <w:r w:rsidR="00303A33" w:rsidRPr="00303A33">
        <w:t>] Solution directions for minimizing user data interruption for UL/DL (Nokia)</w:t>
      </w:r>
    </w:p>
    <w:sectPr w:rsidR="003A7EF3"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2BBE3" w14:textId="77777777" w:rsidR="00EA634F" w:rsidRDefault="00EA634F">
      <w:r>
        <w:separator/>
      </w:r>
    </w:p>
  </w:endnote>
  <w:endnote w:type="continuationSeparator" w:id="0">
    <w:p w14:paraId="753C4EEC" w14:textId="77777777" w:rsidR="00EA634F" w:rsidRDefault="00EA6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8B250"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EC99B" w14:textId="77777777" w:rsidR="00EA634F" w:rsidRDefault="00EA634F">
      <w:r>
        <w:separator/>
      </w:r>
    </w:p>
  </w:footnote>
  <w:footnote w:type="continuationSeparator" w:id="0">
    <w:p w14:paraId="138C89E2" w14:textId="77777777" w:rsidR="00EA634F" w:rsidRDefault="00EA6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5A21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43219D2"/>
    <w:multiLevelType w:val="hybridMultilevel"/>
    <w:tmpl w:val="A39284B4"/>
    <w:lvl w:ilvl="0" w:tplc="FA7AC6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E45AA1"/>
    <w:multiLevelType w:val="hybridMultilevel"/>
    <w:tmpl w:val="2244CFBC"/>
    <w:lvl w:ilvl="0" w:tplc="FA7AC6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6"/>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36F"/>
    <w:rsid w:val="000006E1"/>
    <w:rsid w:val="00002A37"/>
    <w:rsid w:val="000039F4"/>
    <w:rsid w:val="00006446"/>
    <w:rsid w:val="00006896"/>
    <w:rsid w:val="00007CDC"/>
    <w:rsid w:val="00011B28"/>
    <w:rsid w:val="00011D68"/>
    <w:rsid w:val="000127FC"/>
    <w:rsid w:val="00012A9D"/>
    <w:rsid w:val="00015D15"/>
    <w:rsid w:val="00015E93"/>
    <w:rsid w:val="0002564D"/>
    <w:rsid w:val="00025ECA"/>
    <w:rsid w:val="000325B8"/>
    <w:rsid w:val="00034C15"/>
    <w:rsid w:val="000352B6"/>
    <w:rsid w:val="00036BA1"/>
    <w:rsid w:val="000422E2"/>
    <w:rsid w:val="00042F22"/>
    <w:rsid w:val="000444EF"/>
    <w:rsid w:val="00052A07"/>
    <w:rsid w:val="000534E3"/>
    <w:rsid w:val="00053E70"/>
    <w:rsid w:val="0005606A"/>
    <w:rsid w:val="00057117"/>
    <w:rsid w:val="000616E7"/>
    <w:rsid w:val="00061A17"/>
    <w:rsid w:val="0006487E"/>
    <w:rsid w:val="00065E1A"/>
    <w:rsid w:val="00077E5F"/>
    <w:rsid w:val="000801A8"/>
    <w:rsid w:val="0008036A"/>
    <w:rsid w:val="00081AE6"/>
    <w:rsid w:val="000824C8"/>
    <w:rsid w:val="000855EB"/>
    <w:rsid w:val="00085B52"/>
    <w:rsid w:val="000866F2"/>
    <w:rsid w:val="000868B0"/>
    <w:rsid w:val="0009009F"/>
    <w:rsid w:val="00091557"/>
    <w:rsid w:val="000924C1"/>
    <w:rsid w:val="000924F0"/>
    <w:rsid w:val="00093474"/>
    <w:rsid w:val="0009510F"/>
    <w:rsid w:val="000A1B7B"/>
    <w:rsid w:val="000A282C"/>
    <w:rsid w:val="000A56F2"/>
    <w:rsid w:val="000B0C30"/>
    <w:rsid w:val="000B2719"/>
    <w:rsid w:val="000B3A8F"/>
    <w:rsid w:val="000B4AB9"/>
    <w:rsid w:val="000B58C3"/>
    <w:rsid w:val="000B61E9"/>
    <w:rsid w:val="000C165A"/>
    <w:rsid w:val="000C2E19"/>
    <w:rsid w:val="000C49E3"/>
    <w:rsid w:val="000C6A06"/>
    <w:rsid w:val="000D0A35"/>
    <w:rsid w:val="000D0D07"/>
    <w:rsid w:val="000D1C90"/>
    <w:rsid w:val="000D4797"/>
    <w:rsid w:val="000D63E5"/>
    <w:rsid w:val="000E0527"/>
    <w:rsid w:val="000E1E92"/>
    <w:rsid w:val="000E2B3E"/>
    <w:rsid w:val="000F06D6"/>
    <w:rsid w:val="000F0EB1"/>
    <w:rsid w:val="000F1106"/>
    <w:rsid w:val="000F3BE9"/>
    <w:rsid w:val="000F3F6C"/>
    <w:rsid w:val="000F6DF3"/>
    <w:rsid w:val="001005FF"/>
    <w:rsid w:val="001062FB"/>
    <w:rsid w:val="001063E6"/>
    <w:rsid w:val="00106ABF"/>
    <w:rsid w:val="00111F78"/>
    <w:rsid w:val="00111F8C"/>
    <w:rsid w:val="00113CF4"/>
    <w:rsid w:val="001153EA"/>
    <w:rsid w:val="00115643"/>
    <w:rsid w:val="00116765"/>
    <w:rsid w:val="00116F94"/>
    <w:rsid w:val="001219F5"/>
    <w:rsid w:val="00121A20"/>
    <w:rsid w:val="0012377F"/>
    <w:rsid w:val="00124314"/>
    <w:rsid w:val="0012504A"/>
    <w:rsid w:val="00126B4A"/>
    <w:rsid w:val="00127EDF"/>
    <w:rsid w:val="001324F1"/>
    <w:rsid w:val="00132FD0"/>
    <w:rsid w:val="001344C0"/>
    <w:rsid w:val="001346FA"/>
    <w:rsid w:val="00135252"/>
    <w:rsid w:val="00137AB5"/>
    <w:rsid w:val="00137F0B"/>
    <w:rsid w:val="001459A6"/>
    <w:rsid w:val="00151E23"/>
    <w:rsid w:val="001526E0"/>
    <w:rsid w:val="001551B5"/>
    <w:rsid w:val="001562BA"/>
    <w:rsid w:val="00161F07"/>
    <w:rsid w:val="001659C1"/>
    <w:rsid w:val="00173A8E"/>
    <w:rsid w:val="00177795"/>
    <w:rsid w:val="0018143F"/>
    <w:rsid w:val="00185C4F"/>
    <w:rsid w:val="00190AC1"/>
    <w:rsid w:val="0019341A"/>
    <w:rsid w:val="00197DF9"/>
    <w:rsid w:val="00197E46"/>
    <w:rsid w:val="001A1987"/>
    <w:rsid w:val="001A2564"/>
    <w:rsid w:val="001A2F89"/>
    <w:rsid w:val="001A6173"/>
    <w:rsid w:val="001A6CBA"/>
    <w:rsid w:val="001B0D97"/>
    <w:rsid w:val="001B5A5D"/>
    <w:rsid w:val="001B6A4F"/>
    <w:rsid w:val="001C1CE5"/>
    <w:rsid w:val="001C3D2A"/>
    <w:rsid w:val="001C7608"/>
    <w:rsid w:val="001D51BA"/>
    <w:rsid w:val="001D6342"/>
    <w:rsid w:val="001D6D53"/>
    <w:rsid w:val="001E164F"/>
    <w:rsid w:val="001E58E2"/>
    <w:rsid w:val="001E7AED"/>
    <w:rsid w:val="001F3916"/>
    <w:rsid w:val="001F54C5"/>
    <w:rsid w:val="001F662C"/>
    <w:rsid w:val="001F7074"/>
    <w:rsid w:val="00200490"/>
    <w:rsid w:val="00201F3A"/>
    <w:rsid w:val="00202F7B"/>
    <w:rsid w:val="00203F96"/>
    <w:rsid w:val="002069B2"/>
    <w:rsid w:val="00207FA3"/>
    <w:rsid w:val="00214DA8"/>
    <w:rsid w:val="00214EFB"/>
    <w:rsid w:val="00215423"/>
    <w:rsid w:val="002158FA"/>
    <w:rsid w:val="00220600"/>
    <w:rsid w:val="002224DB"/>
    <w:rsid w:val="00223FCB"/>
    <w:rsid w:val="002252C3"/>
    <w:rsid w:val="00225C54"/>
    <w:rsid w:val="00230765"/>
    <w:rsid w:val="002319E4"/>
    <w:rsid w:val="00235632"/>
    <w:rsid w:val="00235872"/>
    <w:rsid w:val="00235FED"/>
    <w:rsid w:val="00241559"/>
    <w:rsid w:val="00241D0F"/>
    <w:rsid w:val="002435B3"/>
    <w:rsid w:val="002458EB"/>
    <w:rsid w:val="002478A1"/>
    <w:rsid w:val="002500C8"/>
    <w:rsid w:val="00255025"/>
    <w:rsid w:val="00256492"/>
    <w:rsid w:val="00256648"/>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2C43"/>
    <w:rsid w:val="00286ACD"/>
    <w:rsid w:val="00287838"/>
    <w:rsid w:val="002907B5"/>
    <w:rsid w:val="00292EB7"/>
    <w:rsid w:val="002955CC"/>
    <w:rsid w:val="00296227"/>
    <w:rsid w:val="00296F44"/>
    <w:rsid w:val="0029777D"/>
    <w:rsid w:val="002A055E"/>
    <w:rsid w:val="002A1D4E"/>
    <w:rsid w:val="002A25DB"/>
    <w:rsid w:val="002A2869"/>
    <w:rsid w:val="002A47E0"/>
    <w:rsid w:val="002B24D6"/>
    <w:rsid w:val="002B27DD"/>
    <w:rsid w:val="002B7439"/>
    <w:rsid w:val="002C1C2B"/>
    <w:rsid w:val="002C417D"/>
    <w:rsid w:val="002C41E6"/>
    <w:rsid w:val="002C74D0"/>
    <w:rsid w:val="002D071A"/>
    <w:rsid w:val="002D34B2"/>
    <w:rsid w:val="002D7637"/>
    <w:rsid w:val="002E17F2"/>
    <w:rsid w:val="002E1D4A"/>
    <w:rsid w:val="002E1E39"/>
    <w:rsid w:val="002E5250"/>
    <w:rsid w:val="002E7CAE"/>
    <w:rsid w:val="002F2771"/>
    <w:rsid w:val="002F37A9"/>
    <w:rsid w:val="00301CE6"/>
    <w:rsid w:val="0030256B"/>
    <w:rsid w:val="00303A33"/>
    <w:rsid w:val="0030501F"/>
    <w:rsid w:val="00307220"/>
    <w:rsid w:val="00307BA1"/>
    <w:rsid w:val="00311702"/>
    <w:rsid w:val="00311E82"/>
    <w:rsid w:val="00312AD3"/>
    <w:rsid w:val="003136E0"/>
    <w:rsid w:val="00313FD6"/>
    <w:rsid w:val="003143BD"/>
    <w:rsid w:val="003203ED"/>
    <w:rsid w:val="00322C9F"/>
    <w:rsid w:val="00324D23"/>
    <w:rsid w:val="00325FF1"/>
    <w:rsid w:val="00331751"/>
    <w:rsid w:val="003329F8"/>
    <w:rsid w:val="00334579"/>
    <w:rsid w:val="00335858"/>
    <w:rsid w:val="00336BDA"/>
    <w:rsid w:val="00342BD7"/>
    <w:rsid w:val="00343A07"/>
    <w:rsid w:val="00346DB5"/>
    <w:rsid w:val="003477B1"/>
    <w:rsid w:val="00351DCA"/>
    <w:rsid w:val="0035328C"/>
    <w:rsid w:val="0035491B"/>
    <w:rsid w:val="003556F2"/>
    <w:rsid w:val="00356C08"/>
    <w:rsid w:val="00357380"/>
    <w:rsid w:val="003602D9"/>
    <w:rsid w:val="003604CE"/>
    <w:rsid w:val="003606E6"/>
    <w:rsid w:val="00370E47"/>
    <w:rsid w:val="003742AC"/>
    <w:rsid w:val="00377CE1"/>
    <w:rsid w:val="00385BF0"/>
    <w:rsid w:val="0039006C"/>
    <w:rsid w:val="0039107B"/>
    <w:rsid w:val="00392EF7"/>
    <w:rsid w:val="003939FF"/>
    <w:rsid w:val="003A2223"/>
    <w:rsid w:val="003A2A0F"/>
    <w:rsid w:val="003A45A1"/>
    <w:rsid w:val="003A57C0"/>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A0B"/>
    <w:rsid w:val="003F2CD4"/>
    <w:rsid w:val="003F54C5"/>
    <w:rsid w:val="003F63E8"/>
    <w:rsid w:val="003F6BBE"/>
    <w:rsid w:val="004000E8"/>
    <w:rsid w:val="00402E2B"/>
    <w:rsid w:val="0040512B"/>
    <w:rsid w:val="00405CA5"/>
    <w:rsid w:val="00407CD3"/>
    <w:rsid w:val="00410134"/>
    <w:rsid w:val="00410B72"/>
    <w:rsid w:val="00410F18"/>
    <w:rsid w:val="0041263E"/>
    <w:rsid w:val="00413AAC"/>
    <w:rsid w:val="00421105"/>
    <w:rsid w:val="00421F99"/>
    <w:rsid w:val="004242F4"/>
    <w:rsid w:val="00427248"/>
    <w:rsid w:val="00437447"/>
    <w:rsid w:val="00441A92"/>
    <w:rsid w:val="00444F56"/>
    <w:rsid w:val="00446488"/>
    <w:rsid w:val="00447B2F"/>
    <w:rsid w:val="004506DE"/>
    <w:rsid w:val="004517AA"/>
    <w:rsid w:val="00452CAC"/>
    <w:rsid w:val="00457565"/>
    <w:rsid w:val="00457B71"/>
    <w:rsid w:val="00461313"/>
    <w:rsid w:val="004631BB"/>
    <w:rsid w:val="004660E4"/>
    <w:rsid w:val="004669E2"/>
    <w:rsid w:val="00470C31"/>
    <w:rsid w:val="00472472"/>
    <w:rsid w:val="00473494"/>
    <w:rsid w:val="004734D0"/>
    <w:rsid w:val="0047556B"/>
    <w:rsid w:val="00475D0D"/>
    <w:rsid w:val="00476784"/>
    <w:rsid w:val="00477768"/>
    <w:rsid w:val="0048031A"/>
    <w:rsid w:val="004803D5"/>
    <w:rsid w:val="00483DE3"/>
    <w:rsid w:val="00492BC5"/>
    <w:rsid w:val="004964F1"/>
    <w:rsid w:val="004A1377"/>
    <w:rsid w:val="004A16BC"/>
    <w:rsid w:val="004A2B94"/>
    <w:rsid w:val="004A43BC"/>
    <w:rsid w:val="004B5C00"/>
    <w:rsid w:val="004B7C0C"/>
    <w:rsid w:val="004C2DB9"/>
    <w:rsid w:val="004C3898"/>
    <w:rsid w:val="004C7494"/>
    <w:rsid w:val="004D0F29"/>
    <w:rsid w:val="004D36B1"/>
    <w:rsid w:val="004D7EBD"/>
    <w:rsid w:val="004E0F9D"/>
    <w:rsid w:val="004E2680"/>
    <w:rsid w:val="004E28F9"/>
    <w:rsid w:val="004E462E"/>
    <w:rsid w:val="004E56DC"/>
    <w:rsid w:val="004E76F4"/>
    <w:rsid w:val="004F0B4E"/>
    <w:rsid w:val="004F0B6C"/>
    <w:rsid w:val="004F2078"/>
    <w:rsid w:val="004F4DA3"/>
    <w:rsid w:val="0050219A"/>
    <w:rsid w:val="00506557"/>
    <w:rsid w:val="0050677A"/>
    <w:rsid w:val="005108D8"/>
    <w:rsid w:val="005116F9"/>
    <w:rsid w:val="00513C7E"/>
    <w:rsid w:val="005153A7"/>
    <w:rsid w:val="00517090"/>
    <w:rsid w:val="005219CF"/>
    <w:rsid w:val="00523894"/>
    <w:rsid w:val="0052717A"/>
    <w:rsid w:val="00534B59"/>
    <w:rsid w:val="00534D2C"/>
    <w:rsid w:val="00534DC0"/>
    <w:rsid w:val="005362C9"/>
    <w:rsid w:val="00536759"/>
    <w:rsid w:val="00537C62"/>
    <w:rsid w:val="00546970"/>
    <w:rsid w:val="00554E19"/>
    <w:rsid w:val="0056121F"/>
    <w:rsid w:val="00561960"/>
    <w:rsid w:val="00572505"/>
    <w:rsid w:val="00582809"/>
    <w:rsid w:val="00585136"/>
    <w:rsid w:val="0058798C"/>
    <w:rsid w:val="005900FA"/>
    <w:rsid w:val="00591AAF"/>
    <w:rsid w:val="005935A4"/>
    <w:rsid w:val="005948C2"/>
    <w:rsid w:val="00595CA8"/>
    <w:rsid w:val="00595DCA"/>
    <w:rsid w:val="0059779B"/>
    <w:rsid w:val="005A209A"/>
    <w:rsid w:val="005A5E3A"/>
    <w:rsid w:val="005A662D"/>
    <w:rsid w:val="005A7A70"/>
    <w:rsid w:val="005B35D7"/>
    <w:rsid w:val="005B392A"/>
    <w:rsid w:val="005B3AA3"/>
    <w:rsid w:val="005B5316"/>
    <w:rsid w:val="005B591A"/>
    <w:rsid w:val="005B6F83"/>
    <w:rsid w:val="005B7B77"/>
    <w:rsid w:val="005C74FB"/>
    <w:rsid w:val="005D1602"/>
    <w:rsid w:val="005D2C74"/>
    <w:rsid w:val="005E385F"/>
    <w:rsid w:val="005E5B81"/>
    <w:rsid w:val="005F0240"/>
    <w:rsid w:val="005F0458"/>
    <w:rsid w:val="005F2CB1"/>
    <w:rsid w:val="005F3025"/>
    <w:rsid w:val="005F4169"/>
    <w:rsid w:val="005F618C"/>
    <w:rsid w:val="005F70BD"/>
    <w:rsid w:val="005F7569"/>
    <w:rsid w:val="00600622"/>
    <w:rsid w:val="0060200A"/>
    <w:rsid w:val="0060283C"/>
    <w:rsid w:val="00604748"/>
    <w:rsid w:val="00604A7E"/>
    <w:rsid w:val="00604F14"/>
    <w:rsid w:val="0060682F"/>
    <w:rsid w:val="00610E3A"/>
    <w:rsid w:val="00611B83"/>
    <w:rsid w:val="00613257"/>
    <w:rsid w:val="00620A71"/>
    <w:rsid w:val="00620D80"/>
    <w:rsid w:val="00622F58"/>
    <w:rsid w:val="006234A6"/>
    <w:rsid w:val="00624A57"/>
    <w:rsid w:val="00630001"/>
    <w:rsid w:val="006311B3"/>
    <w:rsid w:val="00631CA0"/>
    <w:rsid w:val="0063284C"/>
    <w:rsid w:val="00636398"/>
    <w:rsid w:val="006368D3"/>
    <w:rsid w:val="006377EC"/>
    <w:rsid w:val="0064151F"/>
    <w:rsid w:val="00641533"/>
    <w:rsid w:val="00641A7C"/>
    <w:rsid w:val="0064208D"/>
    <w:rsid w:val="00643475"/>
    <w:rsid w:val="0064378C"/>
    <w:rsid w:val="0064396A"/>
    <w:rsid w:val="0064624E"/>
    <w:rsid w:val="00647845"/>
    <w:rsid w:val="0065022C"/>
    <w:rsid w:val="00650AB9"/>
    <w:rsid w:val="00655733"/>
    <w:rsid w:val="00655ACD"/>
    <w:rsid w:val="00656A92"/>
    <w:rsid w:val="00656DDE"/>
    <w:rsid w:val="0066011D"/>
    <w:rsid w:val="006607C0"/>
    <w:rsid w:val="006613A6"/>
    <w:rsid w:val="006627A2"/>
    <w:rsid w:val="006634E6"/>
    <w:rsid w:val="006655EE"/>
    <w:rsid w:val="00665EE9"/>
    <w:rsid w:val="006673A3"/>
    <w:rsid w:val="00667431"/>
    <w:rsid w:val="00667EE7"/>
    <w:rsid w:val="00670922"/>
    <w:rsid w:val="00670BE1"/>
    <w:rsid w:val="0067218F"/>
    <w:rsid w:val="00673690"/>
    <w:rsid w:val="00673AA4"/>
    <w:rsid w:val="006741F2"/>
    <w:rsid w:val="00674CC3"/>
    <w:rsid w:val="00675C72"/>
    <w:rsid w:val="006771F9"/>
    <w:rsid w:val="006776D7"/>
    <w:rsid w:val="00681003"/>
    <w:rsid w:val="006817C9"/>
    <w:rsid w:val="00683ECE"/>
    <w:rsid w:val="00695FC2"/>
    <w:rsid w:val="00696949"/>
    <w:rsid w:val="00697052"/>
    <w:rsid w:val="00697AB8"/>
    <w:rsid w:val="006A46FB"/>
    <w:rsid w:val="006A5E28"/>
    <w:rsid w:val="006A697B"/>
    <w:rsid w:val="006A7AFF"/>
    <w:rsid w:val="006B1179"/>
    <w:rsid w:val="006B1816"/>
    <w:rsid w:val="006B1DE6"/>
    <w:rsid w:val="006B2099"/>
    <w:rsid w:val="006B50CF"/>
    <w:rsid w:val="006B5699"/>
    <w:rsid w:val="006C03B8"/>
    <w:rsid w:val="006C0CEA"/>
    <w:rsid w:val="006C5EC9"/>
    <w:rsid w:val="006C6059"/>
    <w:rsid w:val="006C7522"/>
    <w:rsid w:val="006D19F4"/>
    <w:rsid w:val="006D21C5"/>
    <w:rsid w:val="006D6F08"/>
    <w:rsid w:val="006E062C"/>
    <w:rsid w:val="006E28B7"/>
    <w:rsid w:val="006E32BF"/>
    <w:rsid w:val="006E3310"/>
    <w:rsid w:val="006E4E39"/>
    <w:rsid w:val="006E565E"/>
    <w:rsid w:val="006E673D"/>
    <w:rsid w:val="006E7D3B"/>
    <w:rsid w:val="006F0C18"/>
    <w:rsid w:val="006F1B70"/>
    <w:rsid w:val="006F2387"/>
    <w:rsid w:val="006F341D"/>
    <w:rsid w:val="006F3CDE"/>
    <w:rsid w:val="006F58D4"/>
    <w:rsid w:val="00700E8E"/>
    <w:rsid w:val="00701B94"/>
    <w:rsid w:val="0070346E"/>
    <w:rsid w:val="00704EDB"/>
    <w:rsid w:val="00706101"/>
    <w:rsid w:val="00707072"/>
    <w:rsid w:val="00707D61"/>
    <w:rsid w:val="007110AD"/>
    <w:rsid w:val="00712287"/>
    <w:rsid w:val="007122FC"/>
    <w:rsid w:val="00712772"/>
    <w:rsid w:val="007148D3"/>
    <w:rsid w:val="00715B9A"/>
    <w:rsid w:val="00716A3E"/>
    <w:rsid w:val="00717B8A"/>
    <w:rsid w:val="00717D62"/>
    <w:rsid w:val="00726EA6"/>
    <w:rsid w:val="00727208"/>
    <w:rsid w:val="00727680"/>
    <w:rsid w:val="00730380"/>
    <w:rsid w:val="007304D5"/>
    <w:rsid w:val="007348B1"/>
    <w:rsid w:val="007357B3"/>
    <w:rsid w:val="007362A6"/>
    <w:rsid w:val="00736D7D"/>
    <w:rsid w:val="00740E58"/>
    <w:rsid w:val="007445A0"/>
    <w:rsid w:val="0074524B"/>
    <w:rsid w:val="00746098"/>
    <w:rsid w:val="00747D8B"/>
    <w:rsid w:val="00751228"/>
    <w:rsid w:val="0075248C"/>
    <w:rsid w:val="007571E1"/>
    <w:rsid w:val="007604B2"/>
    <w:rsid w:val="00765281"/>
    <w:rsid w:val="00766BAD"/>
    <w:rsid w:val="007730BD"/>
    <w:rsid w:val="007755F2"/>
    <w:rsid w:val="00776971"/>
    <w:rsid w:val="0078177E"/>
    <w:rsid w:val="0078304C"/>
    <w:rsid w:val="00783673"/>
    <w:rsid w:val="00785490"/>
    <w:rsid w:val="00785849"/>
    <w:rsid w:val="00790C17"/>
    <w:rsid w:val="007925EA"/>
    <w:rsid w:val="00793CD8"/>
    <w:rsid w:val="00795C92"/>
    <w:rsid w:val="00796231"/>
    <w:rsid w:val="007A1CB3"/>
    <w:rsid w:val="007A306F"/>
    <w:rsid w:val="007A37A6"/>
    <w:rsid w:val="007A42F6"/>
    <w:rsid w:val="007A43A6"/>
    <w:rsid w:val="007A58A6"/>
    <w:rsid w:val="007B3D2D"/>
    <w:rsid w:val="007B50AE"/>
    <w:rsid w:val="007B51DF"/>
    <w:rsid w:val="007C05DD"/>
    <w:rsid w:val="007C3D18"/>
    <w:rsid w:val="007C60BF"/>
    <w:rsid w:val="007C6A07"/>
    <w:rsid w:val="007C75A1"/>
    <w:rsid w:val="007C77A5"/>
    <w:rsid w:val="007D04E5"/>
    <w:rsid w:val="007D308B"/>
    <w:rsid w:val="007D5901"/>
    <w:rsid w:val="007D7526"/>
    <w:rsid w:val="007E4610"/>
    <w:rsid w:val="007E4715"/>
    <w:rsid w:val="007E4AB9"/>
    <w:rsid w:val="007E505B"/>
    <w:rsid w:val="007E636F"/>
    <w:rsid w:val="007E7091"/>
    <w:rsid w:val="007F4EFB"/>
    <w:rsid w:val="00803FAE"/>
    <w:rsid w:val="0080605F"/>
    <w:rsid w:val="008062E5"/>
    <w:rsid w:val="00807786"/>
    <w:rsid w:val="00811FCB"/>
    <w:rsid w:val="008154DE"/>
    <w:rsid w:val="008158D6"/>
    <w:rsid w:val="00817196"/>
    <w:rsid w:val="008235DB"/>
    <w:rsid w:val="00824AB4"/>
    <w:rsid w:val="00825C42"/>
    <w:rsid w:val="00825D25"/>
    <w:rsid w:val="00827D6F"/>
    <w:rsid w:val="008376AC"/>
    <w:rsid w:val="008444E8"/>
    <w:rsid w:val="00844E80"/>
    <w:rsid w:val="00846FE7"/>
    <w:rsid w:val="00854F97"/>
    <w:rsid w:val="0085531A"/>
    <w:rsid w:val="00856911"/>
    <w:rsid w:val="00862B86"/>
    <w:rsid w:val="00862D06"/>
    <w:rsid w:val="00863DDB"/>
    <w:rsid w:val="008677FD"/>
    <w:rsid w:val="008706D4"/>
    <w:rsid w:val="00870F8A"/>
    <w:rsid w:val="0087135A"/>
    <w:rsid w:val="008719A4"/>
    <w:rsid w:val="00871D23"/>
    <w:rsid w:val="00873159"/>
    <w:rsid w:val="00873DB0"/>
    <w:rsid w:val="00874312"/>
    <w:rsid w:val="0087437C"/>
    <w:rsid w:val="00875CD7"/>
    <w:rsid w:val="00876B4D"/>
    <w:rsid w:val="00877F18"/>
    <w:rsid w:val="00880651"/>
    <w:rsid w:val="008865C6"/>
    <w:rsid w:val="00886E2E"/>
    <w:rsid w:val="00894A88"/>
    <w:rsid w:val="00895386"/>
    <w:rsid w:val="008A06E2"/>
    <w:rsid w:val="008A15ED"/>
    <w:rsid w:val="008A21FF"/>
    <w:rsid w:val="008A2CE2"/>
    <w:rsid w:val="008A30AC"/>
    <w:rsid w:val="008A44B8"/>
    <w:rsid w:val="008A51A8"/>
    <w:rsid w:val="008A53B8"/>
    <w:rsid w:val="008A54C7"/>
    <w:rsid w:val="008A77D8"/>
    <w:rsid w:val="008A7825"/>
    <w:rsid w:val="008B0483"/>
    <w:rsid w:val="008B120C"/>
    <w:rsid w:val="008B51A0"/>
    <w:rsid w:val="008B592A"/>
    <w:rsid w:val="008B7B5C"/>
    <w:rsid w:val="008C0C99"/>
    <w:rsid w:val="008C12B8"/>
    <w:rsid w:val="008C2017"/>
    <w:rsid w:val="008C4958"/>
    <w:rsid w:val="008C4BAA"/>
    <w:rsid w:val="008C4E90"/>
    <w:rsid w:val="008C6AE8"/>
    <w:rsid w:val="008C7573"/>
    <w:rsid w:val="008D34F1"/>
    <w:rsid w:val="008D39D8"/>
    <w:rsid w:val="008D6D1A"/>
    <w:rsid w:val="008E065E"/>
    <w:rsid w:val="008E0927"/>
    <w:rsid w:val="008E1909"/>
    <w:rsid w:val="008E3746"/>
    <w:rsid w:val="008E52A6"/>
    <w:rsid w:val="008F1EAB"/>
    <w:rsid w:val="008F33DC"/>
    <w:rsid w:val="008F477F"/>
    <w:rsid w:val="008F6B0B"/>
    <w:rsid w:val="00902350"/>
    <w:rsid w:val="0090336B"/>
    <w:rsid w:val="009053AA"/>
    <w:rsid w:val="00906939"/>
    <w:rsid w:val="00910B7D"/>
    <w:rsid w:val="00911DFB"/>
    <w:rsid w:val="009139D9"/>
    <w:rsid w:val="00914AD8"/>
    <w:rsid w:val="00914DB8"/>
    <w:rsid w:val="00916079"/>
    <w:rsid w:val="00917CE9"/>
    <w:rsid w:val="00920BF2"/>
    <w:rsid w:val="0092173B"/>
    <w:rsid w:val="00922010"/>
    <w:rsid w:val="009266AA"/>
    <w:rsid w:val="00931BD9"/>
    <w:rsid w:val="009368F3"/>
    <w:rsid w:val="00937C6F"/>
    <w:rsid w:val="00941636"/>
    <w:rsid w:val="00943742"/>
    <w:rsid w:val="00945C05"/>
    <w:rsid w:val="00946945"/>
    <w:rsid w:val="00947713"/>
    <w:rsid w:val="00950DE7"/>
    <w:rsid w:val="00953920"/>
    <w:rsid w:val="00953D47"/>
    <w:rsid w:val="0095681E"/>
    <w:rsid w:val="009572D4"/>
    <w:rsid w:val="00961921"/>
    <w:rsid w:val="00961FF4"/>
    <w:rsid w:val="0096430A"/>
    <w:rsid w:val="0096554B"/>
    <w:rsid w:val="0096584A"/>
    <w:rsid w:val="00970F5E"/>
    <w:rsid w:val="00971F08"/>
    <w:rsid w:val="0097603D"/>
    <w:rsid w:val="009763A6"/>
    <w:rsid w:val="00976949"/>
    <w:rsid w:val="00980477"/>
    <w:rsid w:val="009821D0"/>
    <w:rsid w:val="00985253"/>
    <w:rsid w:val="009853B3"/>
    <w:rsid w:val="00990630"/>
    <w:rsid w:val="00991761"/>
    <w:rsid w:val="00994DCA"/>
    <w:rsid w:val="009960EC"/>
    <w:rsid w:val="009970DD"/>
    <w:rsid w:val="009A0FBA"/>
    <w:rsid w:val="009A1601"/>
    <w:rsid w:val="009A462D"/>
    <w:rsid w:val="009A5CBA"/>
    <w:rsid w:val="009A5E18"/>
    <w:rsid w:val="009B0BF2"/>
    <w:rsid w:val="009B0D7C"/>
    <w:rsid w:val="009B1F30"/>
    <w:rsid w:val="009B3AC2"/>
    <w:rsid w:val="009B4DF4"/>
    <w:rsid w:val="009B564E"/>
    <w:rsid w:val="009B7E87"/>
    <w:rsid w:val="009C403E"/>
    <w:rsid w:val="009C75B1"/>
    <w:rsid w:val="009D4FF0"/>
    <w:rsid w:val="009D703C"/>
    <w:rsid w:val="009D718F"/>
    <w:rsid w:val="009E068F"/>
    <w:rsid w:val="009E0B8F"/>
    <w:rsid w:val="009E14E0"/>
    <w:rsid w:val="009E35DB"/>
    <w:rsid w:val="009E47A3"/>
    <w:rsid w:val="009E57A4"/>
    <w:rsid w:val="009E6329"/>
    <w:rsid w:val="009F08F3"/>
    <w:rsid w:val="009F1A87"/>
    <w:rsid w:val="009F344F"/>
    <w:rsid w:val="00A026A1"/>
    <w:rsid w:val="00A04341"/>
    <w:rsid w:val="00A048A8"/>
    <w:rsid w:val="00A04F49"/>
    <w:rsid w:val="00A138F5"/>
    <w:rsid w:val="00A13E54"/>
    <w:rsid w:val="00A17F63"/>
    <w:rsid w:val="00A2052C"/>
    <w:rsid w:val="00A2193B"/>
    <w:rsid w:val="00A2351A"/>
    <w:rsid w:val="00A25773"/>
    <w:rsid w:val="00A264A9"/>
    <w:rsid w:val="00A26EF5"/>
    <w:rsid w:val="00A27785"/>
    <w:rsid w:val="00A30187"/>
    <w:rsid w:val="00A3448A"/>
    <w:rsid w:val="00A36297"/>
    <w:rsid w:val="00A41E2B"/>
    <w:rsid w:val="00A45B74"/>
    <w:rsid w:val="00A51296"/>
    <w:rsid w:val="00A52E1D"/>
    <w:rsid w:val="00A5733C"/>
    <w:rsid w:val="00A61499"/>
    <w:rsid w:val="00A62A77"/>
    <w:rsid w:val="00A630D2"/>
    <w:rsid w:val="00A63483"/>
    <w:rsid w:val="00A657D7"/>
    <w:rsid w:val="00A660AC"/>
    <w:rsid w:val="00A66F55"/>
    <w:rsid w:val="00A67E6C"/>
    <w:rsid w:val="00A70431"/>
    <w:rsid w:val="00A71AD9"/>
    <w:rsid w:val="00A71B99"/>
    <w:rsid w:val="00A73128"/>
    <w:rsid w:val="00A739D0"/>
    <w:rsid w:val="00A761D4"/>
    <w:rsid w:val="00A77EC4"/>
    <w:rsid w:val="00A82B33"/>
    <w:rsid w:val="00A855F9"/>
    <w:rsid w:val="00A92879"/>
    <w:rsid w:val="00A9442A"/>
    <w:rsid w:val="00AA016F"/>
    <w:rsid w:val="00AA1ED6"/>
    <w:rsid w:val="00AA20E8"/>
    <w:rsid w:val="00AA51D6"/>
    <w:rsid w:val="00AB0BC8"/>
    <w:rsid w:val="00AB11CA"/>
    <w:rsid w:val="00AB14D9"/>
    <w:rsid w:val="00AB4AB8"/>
    <w:rsid w:val="00AB655E"/>
    <w:rsid w:val="00AC007F"/>
    <w:rsid w:val="00AC2ECD"/>
    <w:rsid w:val="00AC3119"/>
    <w:rsid w:val="00AC49FB"/>
    <w:rsid w:val="00AC5A10"/>
    <w:rsid w:val="00AD0AA3"/>
    <w:rsid w:val="00AD100A"/>
    <w:rsid w:val="00AD3F94"/>
    <w:rsid w:val="00AD4A5A"/>
    <w:rsid w:val="00AE27AC"/>
    <w:rsid w:val="00AE3743"/>
    <w:rsid w:val="00AE40E0"/>
    <w:rsid w:val="00AE4852"/>
    <w:rsid w:val="00AE4DBA"/>
    <w:rsid w:val="00AE4F07"/>
    <w:rsid w:val="00AF1C5D"/>
    <w:rsid w:val="00AF42D7"/>
    <w:rsid w:val="00AF4D77"/>
    <w:rsid w:val="00B006FE"/>
    <w:rsid w:val="00B007CB"/>
    <w:rsid w:val="00B02AA9"/>
    <w:rsid w:val="00B02FA3"/>
    <w:rsid w:val="00B045C8"/>
    <w:rsid w:val="00B05084"/>
    <w:rsid w:val="00B145B3"/>
    <w:rsid w:val="00B157F9"/>
    <w:rsid w:val="00B20256"/>
    <w:rsid w:val="00B20D09"/>
    <w:rsid w:val="00B219A8"/>
    <w:rsid w:val="00B22147"/>
    <w:rsid w:val="00B2763F"/>
    <w:rsid w:val="00B27AAC"/>
    <w:rsid w:val="00B30929"/>
    <w:rsid w:val="00B35BC7"/>
    <w:rsid w:val="00B372AA"/>
    <w:rsid w:val="00B40445"/>
    <w:rsid w:val="00B41888"/>
    <w:rsid w:val="00B45739"/>
    <w:rsid w:val="00B45A52"/>
    <w:rsid w:val="00B46175"/>
    <w:rsid w:val="00B6188F"/>
    <w:rsid w:val="00B664C7"/>
    <w:rsid w:val="00B71898"/>
    <w:rsid w:val="00B726DA"/>
    <w:rsid w:val="00B739F6"/>
    <w:rsid w:val="00B73EDB"/>
    <w:rsid w:val="00B81A6C"/>
    <w:rsid w:val="00B85330"/>
    <w:rsid w:val="00B85DE5"/>
    <w:rsid w:val="00B90F73"/>
    <w:rsid w:val="00B921BA"/>
    <w:rsid w:val="00B93B59"/>
    <w:rsid w:val="00B9406A"/>
    <w:rsid w:val="00BA094E"/>
    <w:rsid w:val="00BA2280"/>
    <w:rsid w:val="00BA2A08"/>
    <w:rsid w:val="00BA3C51"/>
    <w:rsid w:val="00BA56D2"/>
    <w:rsid w:val="00BA76E0"/>
    <w:rsid w:val="00BB05F6"/>
    <w:rsid w:val="00BB2A25"/>
    <w:rsid w:val="00BB51E9"/>
    <w:rsid w:val="00BC0FDC"/>
    <w:rsid w:val="00BC3053"/>
    <w:rsid w:val="00BC4D2E"/>
    <w:rsid w:val="00BD48AC"/>
    <w:rsid w:val="00BD5F1A"/>
    <w:rsid w:val="00BE1234"/>
    <w:rsid w:val="00BE2FA6"/>
    <w:rsid w:val="00BE333F"/>
    <w:rsid w:val="00BE471B"/>
    <w:rsid w:val="00BE7406"/>
    <w:rsid w:val="00BE7603"/>
    <w:rsid w:val="00BF3279"/>
    <w:rsid w:val="00BF3B47"/>
    <w:rsid w:val="00BF74C7"/>
    <w:rsid w:val="00C015F1"/>
    <w:rsid w:val="00C01F33"/>
    <w:rsid w:val="00C027AB"/>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550AE"/>
    <w:rsid w:val="00C571EE"/>
    <w:rsid w:val="00C57A91"/>
    <w:rsid w:val="00C60783"/>
    <w:rsid w:val="00C64672"/>
    <w:rsid w:val="00C64D59"/>
    <w:rsid w:val="00C7057D"/>
    <w:rsid w:val="00C70697"/>
    <w:rsid w:val="00C70718"/>
    <w:rsid w:val="00C72EF4"/>
    <w:rsid w:val="00C75D2F"/>
    <w:rsid w:val="00C767BE"/>
    <w:rsid w:val="00C76E3C"/>
    <w:rsid w:val="00C81568"/>
    <w:rsid w:val="00C9027A"/>
    <w:rsid w:val="00C9068E"/>
    <w:rsid w:val="00C926EC"/>
    <w:rsid w:val="00C93C4B"/>
    <w:rsid w:val="00C944AB"/>
    <w:rsid w:val="00C95B40"/>
    <w:rsid w:val="00CA1ED8"/>
    <w:rsid w:val="00CA6160"/>
    <w:rsid w:val="00CB1F63"/>
    <w:rsid w:val="00CB2895"/>
    <w:rsid w:val="00CB7170"/>
    <w:rsid w:val="00CC040E"/>
    <w:rsid w:val="00CC111F"/>
    <w:rsid w:val="00CC2011"/>
    <w:rsid w:val="00CC3EA0"/>
    <w:rsid w:val="00CC7B45"/>
    <w:rsid w:val="00CD01C4"/>
    <w:rsid w:val="00CD1188"/>
    <w:rsid w:val="00CD2ED1"/>
    <w:rsid w:val="00CD337B"/>
    <w:rsid w:val="00CE0424"/>
    <w:rsid w:val="00CE5A82"/>
    <w:rsid w:val="00CE7561"/>
    <w:rsid w:val="00CF1354"/>
    <w:rsid w:val="00CF3B1F"/>
    <w:rsid w:val="00CF3BF6"/>
    <w:rsid w:val="00CF625B"/>
    <w:rsid w:val="00CF687E"/>
    <w:rsid w:val="00D0349B"/>
    <w:rsid w:val="00D06A64"/>
    <w:rsid w:val="00D10249"/>
    <w:rsid w:val="00D115C3"/>
    <w:rsid w:val="00D11897"/>
    <w:rsid w:val="00D13135"/>
    <w:rsid w:val="00D13E4E"/>
    <w:rsid w:val="00D15446"/>
    <w:rsid w:val="00D239A7"/>
    <w:rsid w:val="00D23F47"/>
    <w:rsid w:val="00D27047"/>
    <w:rsid w:val="00D34D30"/>
    <w:rsid w:val="00D355C8"/>
    <w:rsid w:val="00D36E71"/>
    <w:rsid w:val="00D37D87"/>
    <w:rsid w:val="00D40B33"/>
    <w:rsid w:val="00D4318F"/>
    <w:rsid w:val="00D438BF"/>
    <w:rsid w:val="00D440F8"/>
    <w:rsid w:val="00D4520E"/>
    <w:rsid w:val="00D50F97"/>
    <w:rsid w:val="00D546FF"/>
    <w:rsid w:val="00D55AD5"/>
    <w:rsid w:val="00D576CA"/>
    <w:rsid w:val="00D61AF5"/>
    <w:rsid w:val="00D652B5"/>
    <w:rsid w:val="00D66155"/>
    <w:rsid w:val="00D708B0"/>
    <w:rsid w:val="00D777D8"/>
    <w:rsid w:val="00D77B1D"/>
    <w:rsid w:val="00D8021F"/>
    <w:rsid w:val="00D80383"/>
    <w:rsid w:val="00D823C6"/>
    <w:rsid w:val="00D86185"/>
    <w:rsid w:val="00D86CA3"/>
    <w:rsid w:val="00D871CE"/>
    <w:rsid w:val="00D9196D"/>
    <w:rsid w:val="00D91C42"/>
    <w:rsid w:val="00D92982"/>
    <w:rsid w:val="00DA0082"/>
    <w:rsid w:val="00DA305E"/>
    <w:rsid w:val="00DA5417"/>
    <w:rsid w:val="00DA56E8"/>
    <w:rsid w:val="00DB0A9F"/>
    <w:rsid w:val="00DB377D"/>
    <w:rsid w:val="00DB58C5"/>
    <w:rsid w:val="00DB706E"/>
    <w:rsid w:val="00DC2759"/>
    <w:rsid w:val="00DC2D36"/>
    <w:rsid w:val="00DC53EF"/>
    <w:rsid w:val="00DD4AE5"/>
    <w:rsid w:val="00DE0984"/>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21BC"/>
    <w:rsid w:val="00E531A5"/>
    <w:rsid w:val="00E53B75"/>
    <w:rsid w:val="00E54E3B"/>
    <w:rsid w:val="00E5515A"/>
    <w:rsid w:val="00E57565"/>
    <w:rsid w:val="00E62E76"/>
    <w:rsid w:val="00E63838"/>
    <w:rsid w:val="00E64434"/>
    <w:rsid w:val="00E67C51"/>
    <w:rsid w:val="00E72EFC"/>
    <w:rsid w:val="00E758EC"/>
    <w:rsid w:val="00E76C09"/>
    <w:rsid w:val="00E8234C"/>
    <w:rsid w:val="00E82E25"/>
    <w:rsid w:val="00E83AA9"/>
    <w:rsid w:val="00E85928"/>
    <w:rsid w:val="00E87822"/>
    <w:rsid w:val="00E878AA"/>
    <w:rsid w:val="00E90395"/>
    <w:rsid w:val="00E90E49"/>
    <w:rsid w:val="00E917F9"/>
    <w:rsid w:val="00E9291C"/>
    <w:rsid w:val="00E93FFE"/>
    <w:rsid w:val="00E94F8A"/>
    <w:rsid w:val="00EA11DB"/>
    <w:rsid w:val="00EA3809"/>
    <w:rsid w:val="00EA634F"/>
    <w:rsid w:val="00EA7A41"/>
    <w:rsid w:val="00EB077B"/>
    <w:rsid w:val="00EB4EA2"/>
    <w:rsid w:val="00EC146A"/>
    <w:rsid w:val="00EC27C6"/>
    <w:rsid w:val="00EC4207"/>
    <w:rsid w:val="00EC5653"/>
    <w:rsid w:val="00EC71CE"/>
    <w:rsid w:val="00ED1006"/>
    <w:rsid w:val="00EE5BE5"/>
    <w:rsid w:val="00EE61FE"/>
    <w:rsid w:val="00EF038A"/>
    <w:rsid w:val="00EF04C3"/>
    <w:rsid w:val="00EF18FE"/>
    <w:rsid w:val="00EF5787"/>
    <w:rsid w:val="00EF60D0"/>
    <w:rsid w:val="00EF67B1"/>
    <w:rsid w:val="00F04FC4"/>
    <w:rsid w:val="00F0528D"/>
    <w:rsid w:val="00F06C67"/>
    <w:rsid w:val="00F06DFD"/>
    <w:rsid w:val="00F071D1"/>
    <w:rsid w:val="00F07533"/>
    <w:rsid w:val="00F10629"/>
    <w:rsid w:val="00F1231D"/>
    <w:rsid w:val="00F127DE"/>
    <w:rsid w:val="00F15FA5"/>
    <w:rsid w:val="00F209B7"/>
    <w:rsid w:val="00F21933"/>
    <w:rsid w:val="00F2376F"/>
    <w:rsid w:val="00F243D8"/>
    <w:rsid w:val="00F27EEE"/>
    <w:rsid w:val="00F30828"/>
    <w:rsid w:val="00F313D6"/>
    <w:rsid w:val="00F32E56"/>
    <w:rsid w:val="00F373E6"/>
    <w:rsid w:val="00F40F0C"/>
    <w:rsid w:val="00F43C3D"/>
    <w:rsid w:val="00F4766C"/>
    <w:rsid w:val="00F507D1"/>
    <w:rsid w:val="00F519CE"/>
    <w:rsid w:val="00F51ADA"/>
    <w:rsid w:val="00F52F5C"/>
    <w:rsid w:val="00F607C5"/>
    <w:rsid w:val="00F60DEA"/>
    <w:rsid w:val="00F6302A"/>
    <w:rsid w:val="00F64C2B"/>
    <w:rsid w:val="00F651BE"/>
    <w:rsid w:val="00F67F53"/>
    <w:rsid w:val="00F703BE"/>
    <w:rsid w:val="00F71E6F"/>
    <w:rsid w:val="00F71F69"/>
    <w:rsid w:val="00F72B72"/>
    <w:rsid w:val="00F741AE"/>
    <w:rsid w:val="00F74BB9"/>
    <w:rsid w:val="00F75582"/>
    <w:rsid w:val="00F76EFA"/>
    <w:rsid w:val="00F804BE"/>
    <w:rsid w:val="00F80C0C"/>
    <w:rsid w:val="00F817CE"/>
    <w:rsid w:val="00F8456C"/>
    <w:rsid w:val="00F859D8"/>
    <w:rsid w:val="00F868F5"/>
    <w:rsid w:val="00F9056A"/>
    <w:rsid w:val="00F90F8D"/>
    <w:rsid w:val="00F92782"/>
    <w:rsid w:val="00F93AA9"/>
    <w:rsid w:val="00F96985"/>
    <w:rsid w:val="00F97838"/>
    <w:rsid w:val="00FA2BB3"/>
    <w:rsid w:val="00FB4C80"/>
    <w:rsid w:val="00FB6A6A"/>
    <w:rsid w:val="00FC01F3"/>
    <w:rsid w:val="00FC7429"/>
    <w:rsid w:val="00FD07F6"/>
    <w:rsid w:val="00FD1475"/>
    <w:rsid w:val="00FD1EC8"/>
    <w:rsid w:val="00FD47ED"/>
    <w:rsid w:val="00FD74DB"/>
    <w:rsid w:val="00FD7660"/>
    <w:rsid w:val="00FE0655"/>
    <w:rsid w:val="00FE2365"/>
    <w:rsid w:val="00FE37F8"/>
    <w:rsid w:val="00FE4C7B"/>
    <w:rsid w:val="00FE7336"/>
    <w:rsid w:val="00FE787C"/>
    <w:rsid w:val="00FF45A5"/>
    <w:rsid w:val="00FF5C91"/>
    <w:rsid w:val="00FF68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23F80F"/>
  <w15:chartTrackingRefBased/>
  <w15:docId w15:val="{C40D4275-8DB3-4D3A-BB4E-4A658FFBD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0C1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F0C1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F0C1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F0C18"/>
    <w:pPr>
      <w:numPr>
        <w:ilvl w:val="2"/>
      </w:numPr>
      <w:spacing w:before="120"/>
      <w:outlineLvl w:val="2"/>
    </w:pPr>
    <w:rPr>
      <w:sz w:val="28"/>
      <w:szCs w:val="28"/>
    </w:rPr>
  </w:style>
  <w:style w:type="paragraph" w:styleId="Heading4">
    <w:name w:val="heading 4"/>
    <w:basedOn w:val="Heading3"/>
    <w:next w:val="Normal"/>
    <w:qFormat/>
    <w:rsid w:val="006F0C18"/>
    <w:pPr>
      <w:numPr>
        <w:ilvl w:val="3"/>
      </w:numPr>
      <w:outlineLvl w:val="3"/>
    </w:pPr>
    <w:rPr>
      <w:sz w:val="24"/>
      <w:szCs w:val="24"/>
    </w:rPr>
  </w:style>
  <w:style w:type="paragraph" w:styleId="Heading5">
    <w:name w:val="heading 5"/>
    <w:basedOn w:val="Heading4"/>
    <w:next w:val="Normal"/>
    <w:qFormat/>
    <w:rsid w:val="006F0C18"/>
    <w:pPr>
      <w:numPr>
        <w:ilvl w:val="4"/>
      </w:numPr>
      <w:outlineLvl w:val="4"/>
    </w:pPr>
    <w:rPr>
      <w:sz w:val="22"/>
      <w:szCs w:val="22"/>
    </w:rPr>
  </w:style>
  <w:style w:type="paragraph" w:styleId="Heading6">
    <w:name w:val="heading 6"/>
    <w:basedOn w:val="Normal"/>
    <w:next w:val="Normal"/>
    <w:qFormat/>
    <w:rsid w:val="006F0C18"/>
    <w:pPr>
      <w:keepNext/>
      <w:keepLines/>
      <w:numPr>
        <w:ilvl w:val="5"/>
        <w:numId w:val="1"/>
      </w:numPr>
      <w:spacing w:before="120"/>
      <w:outlineLvl w:val="5"/>
    </w:pPr>
    <w:rPr>
      <w:rFonts w:cs="Arial"/>
    </w:rPr>
  </w:style>
  <w:style w:type="paragraph" w:styleId="Heading7">
    <w:name w:val="heading 7"/>
    <w:basedOn w:val="Normal"/>
    <w:next w:val="Normal"/>
    <w:qFormat/>
    <w:rsid w:val="006F0C18"/>
    <w:pPr>
      <w:keepNext/>
      <w:keepLines/>
      <w:numPr>
        <w:ilvl w:val="6"/>
        <w:numId w:val="1"/>
      </w:numPr>
      <w:spacing w:before="120"/>
      <w:outlineLvl w:val="6"/>
    </w:pPr>
    <w:rPr>
      <w:rFonts w:cs="Arial"/>
    </w:rPr>
  </w:style>
  <w:style w:type="paragraph" w:styleId="Heading8">
    <w:name w:val="heading 8"/>
    <w:basedOn w:val="Heading7"/>
    <w:next w:val="Normal"/>
    <w:qFormat/>
    <w:rsid w:val="006F0C18"/>
    <w:pPr>
      <w:numPr>
        <w:ilvl w:val="7"/>
      </w:numPr>
      <w:outlineLvl w:val="7"/>
    </w:pPr>
  </w:style>
  <w:style w:type="paragraph" w:styleId="Heading9">
    <w:name w:val="heading 9"/>
    <w:basedOn w:val="Heading8"/>
    <w:next w:val="Normal"/>
    <w:qFormat/>
    <w:rsid w:val="006F0C18"/>
    <w:pPr>
      <w:numPr>
        <w:ilvl w:val="8"/>
      </w:numPr>
      <w:outlineLvl w:val="8"/>
    </w:pPr>
  </w:style>
  <w:style w:type="character" w:default="1" w:styleId="DefaultParagraphFont">
    <w:name w:val="Default Paragraph Font"/>
    <w:uiPriority w:val="1"/>
    <w:semiHidden/>
    <w:unhideWhenUsed/>
    <w:rsid w:val="006F0C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0C18"/>
  </w:style>
  <w:style w:type="paragraph" w:styleId="TOC8">
    <w:name w:val="toc 8"/>
    <w:basedOn w:val="TOC1"/>
    <w:semiHidden/>
    <w:rsid w:val="006F0C18"/>
    <w:pPr>
      <w:spacing w:before="180"/>
      <w:ind w:left="2693" w:hanging="2693"/>
    </w:pPr>
    <w:rPr>
      <w:b w:val="0"/>
      <w:bCs/>
    </w:rPr>
  </w:style>
  <w:style w:type="paragraph" w:styleId="TOC1">
    <w:name w:val="toc 1"/>
    <w:aliases w:val="Observation TOC2"/>
    <w:uiPriority w:val="39"/>
    <w:rsid w:val="006F0C1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F0C18"/>
    <w:pPr>
      <w:keepNext/>
      <w:keepLines/>
      <w:spacing w:before="180"/>
      <w:jc w:val="center"/>
    </w:pPr>
  </w:style>
  <w:style w:type="paragraph" w:styleId="Caption">
    <w:name w:val="caption"/>
    <w:basedOn w:val="Normal"/>
    <w:next w:val="Normal"/>
    <w:qFormat/>
    <w:rsid w:val="006F0C18"/>
    <w:pPr>
      <w:spacing w:after="240"/>
      <w:jc w:val="center"/>
    </w:pPr>
    <w:rPr>
      <w:b/>
      <w:bCs/>
    </w:rPr>
  </w:style>
  <w:style w:type="paragraph" w:styleId="TOC5">
    <w:name w:val="toc 5"/>
    <w:aliases w:val="Observation TOC"/>
    <w:basedOn w:val="TOC4"/>
    <w:semiHidden/>
    <w:rsid w:val="006F0C18"/>
    <w:pPr>
      <w:tabs>
        <w:tab w:val="right" w:pos="1701"/>
      </w:tabs>
      <w:ind w:left="1701" w:hanging="1701"/>
    </w:pPr>
  </w:style>
  <w:style w:type="paragraph" w:styleId="TOC4">
    <w:name w:val="toc 4"/>
    <w:basedOn w:val="TOC3"/>
    <w:semiHidden/>
    <w:rsid w:val="006F0C18"/>
    <w:pPr>
      <w:ind w:left="1418" w:hanging="1418"/>
    </w:pPr>
  </w:style>
  <w:style w:type="paragraph" w:styleId="TOC3">
    <w:name w:val="toc 3"/>
    <w:basedOn w:val="TOC2"/>
    <w:semiHidden/>
    <w:rsid w:val="006F0C18"/>
    <w:pPr>
      <w:ind w:left="1134" w:hanging="1134"/>
    </w:pPr>
  </w:style>
  <w:style w:type="paragraph" w:styleId="TOC2">
    <w:name w:val="toc 2"/>
    <w:basedOn w:val="TOC1"/>
    <w:semiHidden/>
    <w:rsid w:val="006F0C18"/>
    <w:pPr>
      <w:keepNext w:val="0"/>
      <w:spacing w:before="0"/>
      <w:ind w:left="851" w:hanging="851"/>
    </w:pPr>
    <w:rPr>
      <w:szCs w:val="20"/>
    </w:rPr>
  </w:style>
  <w:style w:type="paragraph" w:styleId="Index2">
    <w:name w:val="index 2"/>
    <w:basedOn w:val="Index1"/>
    <w:semiHidden/>
    <w:rsid w:val="006F0C18"/>
    <w:pPr>
      <w:ind w:left="284"/>
    </w:pPr>
  </w:style>
  <w:style w:type="paragraph" w:styleId="Index1">
    <w:name w:val="index 1"/>
    <w:basedOn w:val="Normal"/>
    <w:semiHidden/>
    <w:rsid w:val="006F0C18"/>
    <w:pPr>
      <w:keepLines/>
      <w:spacing w:after="0"/>
    </w:pPr>
  </w:style>
  <w:style w:type="paragraph" w:styleId="DocumentMap">
    <w:name w:val="Document Map"/>
    <w:basedOn w:val="Normal"/>
    <w:semiHidden/>
    <w:rsid w:val="006F0C18"/>
    <w:pPr>
      <w:shd w:val="clear" w:color="auto" w:fill="000080"/>
    </w:pPr>
    <w:rPr>
      <w:rFonts w:ascii="Tahoma" w:hAnsi="Tahoma" w:cs="Tahoma"/>
    </w:rPr>
  </w:style>
  <w:style w:type="paragraph" w:styleId="ListNumber2">
    <w:name w:val="List Number 2"/>
    <w:basedOn w:val="ListNumber"/>
    <w:rsid w:val="006F0C18"/>
    <w:pPr>
      <w:ind w:left="851"/>
    </w:pPr>
  </w:style>
  <w:style w:type="paragraph" w:styleId="ListNumber">
    <w:name w:val="List Number"/>
    <w:basedOn w:val="List"/>
    <w:rsid w:val="006F0C18"/>
  </w:style>
  <w:style w:type="paragraph" w:styleId="List">
    <w:name w:val="List"/>
    <w:basedOn w:val="Normal"/>
    <w:rsid w:val="006F0C18"/>
    <w:pPr>
      <w:ind w:left="568" w:hanging="284"/>
    </w:pPr>
  </w:style>
  <w:style w:type="paragraph" w:styleId="Header">
    <w:name w:val="header"/>
    <w:rsid w:val="006F0C1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F0C18"/>
    <w:rPr>
      <w:b/>
      <w:bCs/>
      <w:position w:val="6"/>
      <w:sz w:val="16"/>
      <w:szCs w:val="16"/>
    </w:rPr>
  </w:style>
  <w:style w:type="paragraph" w:styleId="FootnoteText">
    <w:name w:val="footnote text"/>
    <w:basedOn w:val="Normal"/>
    <w:semiHidden/>
    <w:rsid w:val="006F0C18"/>
    <w:pPr>
      <w:keepLines/>
      <w:spacing w:after="0"/>
      <w:ind w:left="454" w:hanging="454"/>
    </w:pPr>
    <w:rPr>
      <w:sz w:val="16"/>
      <w:szCs w:val="16"/>
    </w:rPr>
  </w:style>
  <w:style w:type="paragraph" w:customStyle="1" w:styleId="3GPPHeader">
    <w:name w:val="3GPP_Header"/>
    <w:basedOn w:val="Normal"/>
    <w:rsid w:val="006F0C18"/>
    <w:pPr>
      <w:tabs>
        <w:tab w:val="left" w:pos="1701"/>
        <w:tab w:val="right" w:pos="9639"/>
      </w:tabs>
      <w:spacing w:after="240"/>
    </w:pPr>
    <w:rPr>
      <w:b/>
      <w:sz w:val="24"/>
    </w:rPr>
  </w:style>
  <w:style w:type="paragraph" w:styleId="TOC9">
    <w:name w:val="toc 9"/>
    <w:basedOn w:val="TOC8"/>
    <w:semiHidden/>
    <w:rsid w:val="006F0C18"/>
    <w:pPr>
      <w:ind w:left="1418" w:hanging="1418"/>
    </w:pPr>
  </w:style>
  <w:style w:type="paragraph" w:styleId="TOC6">
    <w:name w:val="toc 6"/>
    <w:basedOn w:val="TOC5"/>
    <w:next w:val="Normal"/>
    <w:semiHidden/>
    <w:rsid w:val="006F0C18"/>
    <w:pPr>
      <w:ind w:left="1985" w:hanging="1985"/>
    </w:pPr>
  </w:style>
  <w:style w:type="paragraph" w:styleId="TOC7">
    <w:name w:val="toc 7"/>
    <w:basedOn w:val="TOC6"/>
    <w:next w:val="Normal"/>
    <w:semiHidden/>
    <w:rsid w:val="006F0C18"/>
    <w:pPr>
      <w:ind w:left="2268" w:hanging="2268"/>
    </w:pPr>
  </w:style>
  <w:style w:type="paragraph" w:styleId="ListBullet2">
    <w:name w:val="List Bullet 2"/>
    <w:basedOn w:val="ListBullet"/>
    <w:rsid w:val="006F0C18"/>
    <w:pPr>
      <w:numPr>
        <w:numId w:val="6"/>
      </w:numPr>
    </w:pPr>
  </w:style>
  <w:style w:type="paragraph" w:styleId="ListBullet">
    <w:name w:val="List Bullet"/>
    <w:basedOn w:val="BodyText"/>
    <w:rsid w:val="006F0C18"/>
    <w:pPr>
      <w:numPr>
        <w:numId w:val="5"/>
      </w:numPr>
    </w:pPr>
  </w:style>
  <w:style w:type="paragraph" w:styleId="ListBullet3">
    <w:name w:val="List Bullet 3"/>
    <w:basedOn w:val="ListBullet2"/>
    <w:rsid w:val="006F0C18"/>
    <w:pPr>
      <w:numPr>
        <w:numId w:val="7"/>
      </w:numPr>
    </w:pPr>
  </w:style>
  <w:style w:type="paragraph" w:customStyle="1" w:styleId="EQ">
    <w:name w:val="EQ"/>
    <w:basedOn w:val="Normal"/>
    <w:next w:val="Normal"/>
    <w:rsid w:val="006F0C18"/>
    <w:pPr>
      <w:keepLines/>
      <w:tabs>
        <w:tab w:val="center" w:pos="4536"/>
        <w:tab w:val="right" w:pos="9072"/>
      </w:tabs>
      <w:spacing w:after="180"/>
      <w:jc w:val="left"/>
    </w:pPr>
    <w:rPr>
      <w:noProof/>
      <w:lang w:eastAsia="en-US"/>
    </w:rPr>
  </w:style>
  <w:style w:type="paragraph" w:styleId="List2">
    <w:name w:val="List 2"/>
    <w:basedOn w:val="List"/>
    <w:rsid w:val="006F0C18"/>
    <w:pPr>
      <w:ind w:left="851"/>
    </w:pPr>
  </w:style>
  <w:style w:type="paragraph" w:styleId="List3">
    <w:name w:val="List 3"/>
    <w:basedOn w:val="List2"/>
    <w:rsid w:val="006F0C18"/>
    <w:pPr>
      <w:ind w:left="1135"/>
    </w:pPr>
  </w:style>
  <w:style w:type="paragraph" w:styleId="List4">
    <w:name w:val="List 4"/>
    <w:basedOn w:val="List3"/>
    <w:rsid w:val="006F0C18"/>
    <w:pPr>
      <w:ind w:left="1418"/>
    </w:pPr>
  </w:style>
  <w:style w:type="paragraph" w:styleId="List5">
    <w:name w:val="List 5"/>
    <w:basedOn w:val="List4"/>
    <w:rsid w:val="006F0C18"/>
    <w:pPr>
      <w:ind w:left="1702"/>
    </w:pPr>
  </w:style>
  <w:style w:type="paragraph" w:customStyle="1" w:styleId="EditorsNote">
    <w:name w:val="Editor's Note"/>
    <w:basedOn w:val="Normal"/>
    <w:rsid w:val="006F0C18"/>
    <w:pPr>
      <w:keepLines/>
      <w:spacing w:after="180"/>
      <w:ind w:left="1135" w:hanging="851"/>
      <w:jc w:val="left"/>
    </w:pPr>
    <w:rPr>
      <w:color w:val="FF0000"/>
      <w:lang w:eastAsia="en-US"/>
    </w:rPr>
  </w:style>
  <w:style w:type="paragraph" w:styleId="ListBullet4">
    <w:name w:val="List Bullet 4"/>
    <w:basedOn w:val="ListBullet3"/>
    <w:rsid w:val="006F0C18"/>
    <w:pPr>
      <w:numPr>
        <w:numId w:val="8"/>
      </w:numPr>
    </w:pPr>
  </w:style>
  <w:style w:type="paragraph" w:styleId="ListBullet5">
    <w:name w:val="List Bullet 5"/>
    <w:basedOn w:val="ListBullet4"/>
    <w:rsid w:val="006F0C18"/>
    <w:pPr>
      <w:numPr>
        <w:numId w:val="4"/>
      </w:numPr>
    </w:pPr>
  </w:style>
  <w:style w:type="paragraph" w:styleId="Footer">
    <w:name w:val="footer"/>
    <w:basedOn w:val="Header"/>
    <w:semiHidden/>
    <w:rsid w:val="006F0C18"/>
    <w:pPr>
      <w:jc w:val="center"/>
    </w:pPr>
    <w:rPr>
      <w:i/>
      <w:iCs/>
    </w:rPr>
  </w:style>
  <w:style w:type="paragraph" w:customStyle="1" w:styleId="Reference">
    <w:name w:val="Reference"/>
    <w:basedOn w:val="Normal"/>
    <w:rsid w:val="006F0C18"/>
    <w:pPr>
      <w:numPr>
        <w:numId w:val="2"/>
      </w:numPr>
    </w:pPr>
  </w:style>
  <w:style w:type="paragraph" w:styleId="BalloonText">
    <w:name w:val="Balloon Text"/>
    <w:basedOn w:val="Normal"/>
    <w:semiHidden/>
    <w:rsid w:val="006F0C18"/>
    <w:rPr>
      <w:rFonts w:ascii="Tahoma" w:hAnsi="Tahoma" w:cs="Tahoma"/>
      <w:sz w:val="16"/>
      <w:szCs w:val="16"/>
    </w:rPr>
  </w:style>
  <w:style w:type="character" w:styleId="PageNumber">
    <w:name w:val="page number"/>
    <w:basedOn w:val="DefaultParagraphFont"/>
    <w:semiHidden/>
    <w:rsid w:val="006F0C18"/>
  </w:style>
  <w:style w:type="paragraph" w:styleId="BodyText">
    <w:name w:val="Body Text"/>
    <w:basedOn w:val="Normal"/>
    <w:link w:val="BodyTextChar"/>
    <w:rsid w:val="006F0C18"/>
  </w:style>
  <w:style w:type="character" w:styleId="Hyperlink">
    <w:name w:val="Hyperlink"/>
    <w:uiPriority w:val="99"/>
    <w:rsid w:val="006F0C18"/>
    <w:rPr>
      <w:color w:val="0000FF"/>
      <w:u w:val="single"/>
      <w:lang w:val="en-GB"/>
    </w:rPr>
  </w:style>
  <w:style w:type="character" w:styleId="FollowedHyperlink">
    <w:name w:val="FollowedHyperlink"/>
    <w:semiHidden/>
    <w:rsid w:val="006F0C18"/>
    <w:rPr>
      <w:color w:val="FF0000"/>
      <w:u w:val="single"/>
    </w:rPr>
  </w:style>
  <w:style w:type="character" w:styleId="CommentReference">
    <w:name w:val="annotation reference"/>
    <w:semiHidden/>
    <w:rsid w:val="006F0C18"/>
    <w:rPr>
      <w:sz w:val="16"/>
      <w:szCs w:val="16"/>
    </w:rPr>
  </w:style>
  <w:style w:type="paragraph" w:styleId="CommentText">
    <w:name w:val="annotation text"/>
    <w:basedOn w:val="Normal"/>
    <w:semiHidden/>
    <w:rsid w:val="006F0C18"/>
  </w:style>
  <w:style w:type="paragraph" w:styleId="CommentSubject">
    <w:name w:val="annotation subject"/>
    <w:basedOn w:val="CommentText"/>
    <w:next w:val="CommentText"/>
    <w:semiHidden/>
    <w:rsid w:val="006F0C18"/>
    <w:rPr>
      <w:b/>
      <w:bCs/>
    </w:rPr>
  </w:style>
  <w:style w:type="character" w:customStyle="1" w:styleId="Heading1Char">
    <w:name w:val="Heading 1 Char"/>
    <w:link w:val="Heading1"/>
    <w:rsid w:val="006F0C18"/>
    <w:rPr>
      <w:rFonts w:ascii="Arial" w:hAnsi="Arial" w:cs="Arial"/>
      <w:sz w:val="36"/>
      <w:szCs w:val="36"/>
      <w:lang w:val="en-GB" w:eastAsia="zh-CN"/>
    </w:rPr>
  </w:style>
  <w:style w:type="paragraph" w:customStyle="1" w:styleId="B1">
    <w:name w:val="B1"/>
    <w:basedOn w:val="List"/>
    <w:rsid w:val="006F0C18"/>
    <w:pPr>
      <w:spacing w:after="180"/>
      <w:jc w:val="left"/>
    </w:pPr>
    <w:rPr>
      <w:lang w:eastAsia="en-US"/>
    </w:rPr>
  </w:style>
  <w:style w:type="paragraph" w:customStyle="1" w:styleId="B2">
    <w:name w:val="B2"/>
    <w:basedOn w:val="List2"/>
    <w:rsid w:val="006F0C18"/>
    <w:pPr>
      <w:spacing w:after="180"/>
      <w:jc w:val="left"/>
    </w:pPr>
    <w:rPr>
      <w:lang w:eastAsia="en-US"/>
    </w:rPr>
  </w:style>
  <w:style w:type="paragraph" w:customStyle="1" w:styleId="B3">
    <w:name w:val="B3"/>
    <w:basedOn w:val="List3"/>
    <w:rsid w:val="006F0C18"/>
    <w:pPr>
      <w:spacing w:after="180"/>
      <w:jc w:val="left"/>
    </w:pPr>
    <w:rPr>
      <w:lang w:eastAsia="en-US"/>
    </w:rPr>
  </w:style>
  <w:style w:type="paragraph" w:customStyle="1" w:styleId="B4">
    <w:name w:val="B4"/>
    <w:basedOn w:val="List4"/>
    <w:rsid w:val="006F0C18"/>
    <w:pPr>
      <w:spacing w:after="180"/>
      <w:jc w:val="left"/>
    </w:pPr>
    <w:rPr>
      <w:lang w:eastAsia="en-US"/>
    </w:rPr>
  </w:style>
  <w:style w:type="paragraph" w:customStyle="1" w:styleId="Proposal">
    <w:name w:val="Proposal"/>
    <w:basedOn w:val="Normal"/>
    <w:rsid w:val="006F0C18"/>
    <w:pPr>
      <w:numPr>
        <w:numId w:val="3"/>
      </w:numPr>
      <w:tabs>
        <w:tab w:val="clear" w:pos="1304"/>
        <w:tab w:val="left" w:pos="1701"/>
      </w:tabs>
      <w:ind w:left="1701" w:hanging="1701"/>
    </w:pPr>
    <w:rPr>
      <w:b/>
      <w:bCs/>
    </w:rPr>
  </w:style>
  <w:style w:type="character" w:customStyle="1" w:styleId="BodyTextChar">
    <w:name w:val="Body Text Char"/>
    <w:link w:val="BodyText"/>
    <w:rsid w:val="006F0C18"/>
    <w:rPr>
      <w:rFonts w:ascii="Arial" w:hAnsi="Arial"/>
      <w:lang w:val="en-GB" w:eastAsia="zh-CN"/>
    </w:rPr>
  </w:style>
  <w:style w:type="paragraph" w:customStyle="1" w:styleId="B5">
    <w:name w:val="B5"/>
    <w:basedOn w:val="List5"/>
    <w:rsid w:val="006F0C18"/>
    <w:pPr>
      <w:spacing w:after="180"/>
      <w:jc w:val="left"/>
    </w:pPr>
    <w:rPr>
      <w:lang w:eastAsia="en-US"/>
    </w:rPr>
  </w:style>
  <w:style w:type="paragraph" w:customStyle="1" w:styleId="EX">
    <w:name w:val="EX"/>
    <w:basedOn w:val="Normal"/>
    <w:rsid w:val="006F0C18"/>
    <w:pPr>
      <w:keepLines/>
      <w:spacing w:after="180"/>
      <w:ind w:left="1702" w:hanging="1418"/>
      <w:jc w:val="left"/>
    </w:pPr>
    <w:rPr>
      <w:lang w:eastAsia="en-US"/>
    </w:rPr>
  </w:style>
  <w:style w:type="paragraph" w:customStyle="1" w:styleId="EW">
    <w:name w:val="EW"/>
    <w:basedOn w:val="EX"/>
    <w:rsid w:val="006F0C18"/>
    <w:pPr>
      <w:spacing w:after="0"/>
    </w:pPr>
  </w:style>
  <w:style w:type="paragraph" w:customStyle="1" w:styleId="TAL">
    <w:name w:val="TAL"/>
    <w:basedOn w:val="Normal"/>
    <w:rsid w:val="006F0C18"/>
    <w:pPr>
      <w:keepNext/>
      <w:keepLines/>
      <w:spacing w:after="0"/>
      <w:jc w:val="left"/>
    </w:pPr>
    <w:rPr>
      <w:sz w:val="18"/>
      <w:lang w:eastAsia="en-US"/>
    </w:rPr>
  </w:style>
  <w:style w:type="paragraph" w:customStyle="1" w:styleId="TAC">
    <w:name w:val="TAC"/>
    <w:basedOn w:val="TAL"/>
    <w:rsid w:val="006F0C18"/>
    <w:pPr>
      <w:jc w:val="center"/>
    </w:pPr>
  </w:style>
  <w:style w:type="paragraph" w:customStyle="1" w:styleId="TAH">
    <w:name w:val="TAH"/>
    <w:basedOn w:val="TAC"/>
    <w:rsid w:val="006F0C18"/>
    <w:rPr>
      <w:b/>
    </w:rPr>
  </w:style>
  <w:style w:type="paragraph" w:customStyle="1" w:styleId="TAN">
    <w:name w:val="TAN"/>
    <w:basedOn w:val="TAL"/>
    <w:rsid w:val="006F0C18"/>
    <w:pPr>
      <w:ind w:left="851" w:hanging="851"/>
    </w:pPr>
  </w:style>
  <w:style w:type="paragraph" w:customStyle="1" w:styleId="TAR">
    <w:name w:val="TAR"/>
    <w:basedOn w:val="TAL"/>
    <w:rsid w:val="006F0C18"/>
    <w:pPr>
      <w:jc w:val="right"/>
    </w:pPr>
  </w:style>
  <w:style w:type="paragraph" w:customStyle="1" w:styleId="TH">
    <w:name w:val="TH"/>
    <w:basedOn w:val="Normal"/>
    <w:rsid w:val="006F0C18"/>
    <w:pPr>
      <w:keepNext/>
      <w:keepLines/>
      <w:spacing w:before="60" w:after="180"/>
      <w:jc w:val="center"/>
    </w:pPr>
    <w:rPr>
      <w:b/>
      <w:lang w:eastAsia="en-US"/>
    </w:rPr>
  </w:style>
  <w:style w:type="paragraph" w:customStyle="1" w:styleId="TF">
    <w:name w:val="TF"/>
    <w:basedOn w:val="TH"/>
    <w:rsid w:val="006F0C18"/>
    <w:pPr>
      <w:keepNext w:val="0"/>
      <w:spacing w:before="0" w:after="240"/>
    </w:pPr>
  </w:style>
  <w:style w:type="paragraph" w:customStyle="1" w:styleId="TT">
    <w:name w:val="TT"/>
    <w:basedOn w:val="Heading1"/>
    <w:next w:val="Normal"/>
    <w:rsid w:val="006F0C18"/>
    <w:pPr>
      <w:numPr>
        <w:numId w:val="0"/>
      </w:numPr>
      <w:ind w:left="1134" w:hanging="1134"/>
      <w:outlineLvl w:val="9"/>
    </w:pPr>
    <w:rPr>
      <w:rFonts w:cs="Times New Roman"/>
      <w:szCs w:val="20"/>
      <w:lang w:eastAsia="en-US"/>
    </w:rPr>
  </w:style>
  <w:style w:type="paragraph" w:customStyle="1" w:styleId="ZA">
    <w:name w:val="ZA"/>
    <w:rsid w:val="006F0C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F0C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F0C1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F0C1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F0C18"/>
  </w:style>
  <w:style w:type="paragraph" w:customStyle="1" w:styleId="ZH">
    <w:name w:val="ZH"/>
    <w:rsid w:val="006F0C1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F0C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F0C18"/>
    <w:pPr>
      <w:framePr w:hRule="auto" w:wrap="notBeside" w:y="852"/>
    </w:pPr>
    <w:rPr>
      <w:i w:val="0"/>
      <w:sz w:val="40"/>
    </w:rPr>
  </w:style>
  <w:style w:type="paragraph" w:customStyle="1" w:styleId="ZU">
    <w:name w:val="ZU"/>
    <w:rsid w:val="006F0C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F0C18"/>
    <w:pPr>
      <w:framePr w:wrap="notBeside" w:y="16161"/>
    </w:pPr>
  </w:style>
  <w:style w:type="paragraph" w:customStyle="1" w:styleId="FP">
    <w:name w:val="FP"/>
    <w:basedOn w:val="Normal"/>
    <w:rsid w:val="006F0C18"/>
    <w:pPr>
      <w:spacing w:after="0"/>
      <w:jc w:val="left"/>
    </w:pPr>
    <w:rPr>
      <w:lang w:eastAsia="en-US"/>
    </w:rPr>
  </w:style>
  <w:style w:type="paragraph" w:customStyle="1" w:styleId="Observation">
    <w:name w:val="Observation"/>
    <w:basedOn w:val="Proposal"/>
    <w:qFormat/>
    <w:rsid w:val="006F0C18"/>
    <w:pPr>
      <w:numPr>
        <w:numId w:val="13"/>
      </w:numPr>
      <w:ind w:left="1701" w:hanging="1701"/>
    </w:pPr>
  </w:style>
  <w:style w:type="paragraph" w:styleId="TableofFigures">
    <w:name w:val="table of figures"/>
    <w:basedOn w:val="Normal"/>
    <w:next w:val="Normal"/>
    <w:uiPriority w:val="99"/>
    <w:rsid w:val="006F0C18"/>
    <w:pPr>
      <w:ind w:left="1418" w:hanging="1418"/>
      <w:jc w:val="left"/>
    </w:pPr>
    <w:rPr>
      <w:b/>
    </w:rPr>
  </w:style>
  <w:style w:type="paragraph" w:customStyle="1" w:styleId="Doc-text2">
    <w:name w:val="Doc-text2"/>
    <w:basedOn w:val="Normal"/>
    <w:link w:val="Doc-text2Char"/>
    <w:qFormat/>
    <w:rsid w:val="006F0C1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F0C18"/>
    <w:rPr>
      <w:rFonts w:ascii="Arial" w:eastAsia="MS Mincho" w:hAnsi="Arial"/>
      <w:szCs w:val="24"/>
      <w:lang w:val="en-GB" w:eastAsia="en-GB"/>
    </w:rPr>
  </w:style>
  <w:style w:type="paragraph" w:styleId="ListParagraph">
    <w:name w:val="List Paragraph"/>
    <w:basedOn w:val="Normal"/>
    <w:uiPriority w:val="34"/>
    <w:qFormat/>
    <w:rsid w:val="00D91C42"/>
    <w:pPr>
      <w:ind w:left="720"/>
      <w:contextualSpacing/>
    </w:pPr>
  </w:style>
  <w:style w:type="character" w:styleId="UnresolvedMention">
    <w:name w:val="Unresolved Mention"/>
    <w:basedOn w:val="DefaultParagraphFont"/>
    <w:uiPriority w:val="99"/>
    <w:semiHidden/>
    <w:unhideWhenUsed/>
    <w:rsid w:val="00303A33"/>
    <w:rPr>
      <w:color w:val="605E5C"/>
      <w:shd w:val="clear" w:color="auto" w:fill="E1DFDD"/>
    </w:rPr>
  </w:style>
  <w:style w:type="paragraph" w:styleId="NormalWeb">
    <w:name w:val="Normal (Web)"/>
    <w:basedOn w:val="Normal"/>
    <w:uiPriority w:val="99"/>
    <w:unhideWhenUsed/>
    <w:rsid w:val="00673690"/>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09100078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TSG_RAN/TSGR_80/Docs/RP-181475.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ftp/tsg_ran/TSG_RAN/TSGR_80/Docs/RP-181475.zip"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tar/Shared%20Documents/3GPP/RAN2/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5NUHHDQN7SK2-1476151046-41333</_dlc_DocId>
    <_dlc_DocIdUrl xmlns="f166a696-7b5b-4ccd-9f0c-ffde0cceec81">
      <Url>https://ericsson.sharepoint.com/sites/star/_layouts/15/DocIdRedir.aspx?ID=5NUHHDQN7SK2-1476151046-41333</Url>
      <Description>5NUHHDQN7SK2-1476151046-41333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SharedWithUsers xmlns="f166a696-7b5b-4ccd-9f0c-ffde0cceec81">
      <UserInfo>
        <DisplayName>Oscar Ohlsson</DisplayName>
        <AccountId>352</AccountId>
        <AccountType/>
      </UserInfo>
    </SharedWithUsers>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http://purl.org/dc/elements/1.1/"/>
    <ds:schemaRef ds:uri="http://schemas.microsoft.com/office/2006/metadata/properties"/>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4389FE19-41F0-4951-97E8-55A34E84D4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6F0D51B8-A2E5-474C-A5DC-27BEE22EE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R2-17xxxxx%20-%20Contribution%20Template</Template>
  <TotalTime>1062</TotalTime>
  <Pages>4</Pages>
  <Words>1472</Words>
  <Characters>7662</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Oscar Ohlsson</cp:lastModifiedBy>
  <cp:revision>218</cp:revision>
  <cp:lastPrinted>2008-01-31T16:09:00Z</cp:lastPrinted>
  <dcterms:created xsi:type="dcterms:W3CDTF">2019-02-04T08:11:00Z</dcterms:created>
  <dcterms:modified xsi:type="dcterms:W3CDTF">2019-02-14T12:37:00Z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a93c7a1d-8bcf-43fe-87c6-97892069b191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3072">
    <vt:lpwstr>357</vt:lpwstr>
  </property>
  <property fmtid="{D5CDD505-2E9C-101B-9397-08002B2CF9AE}" pid="19" name="AuthorIds_UIVersion_12800">
    <vt:lpwstr>347</vt:lpwstr>
  </property>
</Properties>
</file>